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1C" w:rsidRPr="000B3F62" w:rsidRDefault="00A844F0" w:rsidP="00AE6B14">
      <w:pPr>
        <w:spacing w:line="240" w:lineRule="auto"/>
        <w:rPr>
          <w:b/>
          <w:bCs/>
          <w:sz w:val="16"/>
          <w:szCs w:val="16"/>
          <w:rtl/>
        </w:rPr>
      </w:pPr>
      <w:r w:rsidRPr="000B3F62">
        <w:rPr>
          <w:rFonts w:hint="cs"/>
          <w:sz w:val="16"/>
          <w:szCs w:val="16"/>
          <w:rtl/>
        </w:rPr>
        <w:t>_______________</w:t>
      </w:r>
      <w:r w:rsidR="00A0631C" w:rsidRPr="000B3F62">
        <w:rPr>
          <w:rFonts w:hint="cs"/>
          <w:sz w:val="16"/>
          <w:szCs w:val="16"/>
          <w:rtl/>
        </w:rPr>
        <w:t>________________________________________________________</w:t>
      </w:r>
      <w:r w:rsidR="00AE6B14" w:rsidRPr="000B3F62">
        <w:rPr>
          <w:rFonts w:hint="cs"/>
          <w:sz w:val="16"/>
          <w:szCs w:val="16"/>
          <w:rtl/>
        </w:rPr>
        <w:t>________________________________________</w:t>
      </w:r>
    </w:p>
    <w:p w:rsidR="00EB5FBB" w:rsidRPr="00EC06E8" w:rsidRDefault="00EB5FBB" w:rsidP="00EC06E8">
      <w:pPr>
        <w:spacing w:line="240" w:lineRule="auto"/>
        <w:jc w:val="right"/>
        <w:rPr>
          <w:b/>
          <w:bCs/>
          <w:rtl/>
        </w:rPr>
      </w:pPr>
      <w:r w:rsidRPr="00EC06E8">
        <w:rPr>
          <w:rtl/>
        </w:rPr>
        <w:t xml:space="preserve">ירושלים, </w:t>
      </w:r>
      <w:r w:rsidR="008B49E3" w:rsidRPr="00EC06E8">
        <w:rPr>
          <w:rFonts w:hint="cs"/>
          <w:rtl/>
        </w:rPr>
        <w:t>ט</w:t>
      </w:r>
      <w:r w:rsidR="0076558F" w:rsidRPr="00EC06E8">
        <w:rPr>
          <w:rFonts w:hint="cs"/>
          <w:rtl/>
        </w:rPr>
        <w:t>'</w:t>
      </w:r>
      <w:r w:rsidRPr="00EC06E8">
        <w:rPr>
          <w:rtl/>
        </w:rPr>
        <w:t xml:space="preserve"> ב</w:t>
      </w:r>
      <w:r w:rsidR="008B49E3" w:rsidRPr="00EC06E8">
        <w:rPr>
          <w:rFonts w:hint="cs"/>
          <w:rtl/>
        </w:rPr>
        <w:t>טבת</w:t>
      </w:r>
      <w:r w:rsidR="00EC06E8">
        <w:rPr>
          <w:rFonts w:hint="cs"/>
          <w:rtl/>
        </w:rPr>
        <w:t>,</w:t>
      </w:r>
      <w:r w:rsidRPr="00EC06E8">
        <w:rPr>
          <w:rtl/>
        </w:rPr>
        <w:t xml:space="preserve"> </w:t>
      </w:r>
      <w:proofErr w:type="spellStart"/>
      <w:r w:rsidR="00D833B2">
        <w:rPr>
          <w:rFonts w:hint="cs"/>
          <w:rtl/>
        </w:rPr>
        <w:t>ה</w:t>
      </w:r>
      <w:r w:rsidR="0076558F" w:rsidRPr="00EC06E8">
        <w:rPr>
          <w:rtl/>
        </w:rPr>
        <w:t>תש</w:t>
      </w:r>
      <w:r w:rsidR="000910B2" w:rsidRPr="00EC06E8">
        <w:rPr>
          <w:rtl/>
        </w:rPr>
        <w:t>"</w:t>
      </w:r>
      <w:r w:rsidR="00EC06E8" w:rsidRPr="00EC06E8">
        <w:rPr>
          <w:rFonts w:hint="cs"/>
          <w:rtl/>
        </w:rPr>
        <w:t>ף</w:t>
      </w:r>
      <w:proofErr w:type="spellEnd"/>
    </w:p>
    <w:p w:rsidR="00EB5FBB" w:rsidRPr="00EC06E8" w:rsidRDefault="008B49E3" w:rsidP="00E16A6A">
      <w:pPr>
        <w:spacing w:line="240" w:lineRule="auto"/>
        <w:jc w:val="right"/>
        <w:rPr>
          <w:b/>
          <w:bCs/>
          <w:rtl/>
        </w:rPr>
      </w:pPr>
      <w:r w:rsidRPr="00EC06E8">
        <w:rPr>
          <w:rFonts w:hint="cs"/>
          <w:rtl/>
        </w:rPr>
        <w:t>6</w:t>
      </w:r>
      <w:r w:rsidR="00915F26" w:rsidRPr="00EC06E8">
        <w:rPr>
          <w:rtl/>
        </w:rPr>
        <w:t xml:space="preserve"> ב</w:t>
      </w:r>
      <w:r w:rsidRPr="00EC06E8">
        <w:rPr>
          <w:rFonts w:hint="cs"/>
          <w:rtl/>
        </w:rPr>
        <w:t>ינואר</w:t>
      </w:r>
      <w:r w:rsidR="00EC06E8">
        <w:rPr>
          <w:rFonts w:hint="cs"/>
          <w:rtl/>
        </w:rPr>
        <w:t>,</w:t>
      </w:r>
      <w:r w:rsidR="001D347E" w:rsidRPr="00EC06E8">
        <w:rPr>
          <w:rtl/>
        </w:rPr>
        <w:t xml:space="preserve"> </w:t>
      </w:r>
      <w:r w:rsidR="000910B2" w:rsidRPr="00EC06E8">
        <w:rPr>
          <w:rtl/>
        </w:rPr>
        <w:t>20</w:t>
      </w:r>
      <w:r w:rsidR="00E16A6A" w:rsidRPr="00EC06E8">
        <w:rPr>
          <w:rFonts w:hint="cs"/>
          <w:rtl/>
        </w:rPr>
        <w:t>20</w:t>
      </w:r>
    </w:p>
    <w:p w:rsidR="0044506A" w:rsidRPr="00EC06E8" w:rsidRDefault="00AE6B14" w:rsidP="00EC06E8">
      <w:pPr>
        <w:spacing w:line="240" w:lineRule="auto"/>
        <w:jc w:val="right"/>
        <w:rPr>
          <w:b/>
          <w:bCs/>
          <w:rtl/>
        </w:rPr>
      </w:pPr>
      <w:r w:rsidRPr="00EC06E8">
        <w:rPr>
          <w:rFonts w:hint="cs"/>
          <w:rtl/>
        </w:rPr>
        <w:t>00</w:t>
      </w:r>
      <w:r w:rsidR="00EC06E8" w:rsidRPr="00EC06E8">
        <w:rPr>
          <w:rFonts w:hint="cs"/>
          <w:rtl/>
        </w:rPr>
        <w:t>3</w:t>
      </w:r>
      <w:r w:rsidRPr="00EC06E8">
        <w:rPr>
          <w:rFonts w:hint="cs"/>
          <w:rtl/>
        </w:rPr>
        <w:t>/20</w:t>
      </w:r>
      <w:r w:rsidR="0076558F" w:rsidRPr="00EC06E8">
        <w:rPr>
          <w:rFonts w:hint="cs"/>
          <w:rtl/>
        </w:rPr>
        <w:t>20</w:t>
      </w:r>
    </w:p>
    <w:p w:rsidR="007837DB" w:rsidRPr="00AF649F" w:rsidRDefault="007837DB" w:rsidP="00703DE4">
      <w:pPr>
        <w:pStyle w:val="1"/>
        <w:bidi/>
        <w:rPr>
          <w:rtl/>
        </w:rPr>
      </w:pPr>
      <w:r w:rsidRPr="00AF649F">
        <w:rPr>
          <w:rtl/>
        </w:rPr>
        <w:t>מאזן האנרגיה של ישראל</w:t>
      </w:r>
      <w:r w:rsidR="000A2DFD" w:rsidRPr="00AF649F">
        <w:rPr>
          <w:rFonts w:hint="cs"/>
          <w:rtl/>
        </w:rPr>
        <w:t>,</w:t>
      </w:r>
      <w:r w:rsidRPr="00AF649F">
        <w:rPr>
          <w:rtl/>
        </w:rPr>
        <w:t xml:space="preserve"> </w:t>
      </w:r>
      <w:r w:rsidR="00E16A6A" w:rsidRPr="00AF649F">
        <w:rPr>
          <w:rFonts w:hint="cs"/>
          <w:rtl/>
        </w:rPr>
        <w:t>2018</w:t>
      </w:r>
    </w:p>
    <w:p w:rsidR="00EB5FBB" w:rsidRPr="00703DE4" w:rsidRDefault="007837DB" w:rsidP="00703DE4">
      <w:pPr>
        <w:pStyle w:val="1"/>
        <w:rPr>
          <w:b/>
          <w:bCs w:val="0"/>
        </w:rPr>
      </w:pPr>
      <w:r w:rsidRPr="00703DE4">
        <w:rPr>
          <w:b/>
          <w:bCs w:val="0"/>
        </w:rPr>
        <w:t>Energy Balance</w:t>
      </w:r>
      <w:r w:rsidR="000A2DFD" w:rsidRPr="00703DE4">
        <w:rPr>
          <w:b/>
          <w:bCs w:val="0"/>
        </w:rPr>
        <w:t>,</w:t>
      </w:r>
      <w:r w:rsidRPr="00703DE4">
        <w:rPr>
          <w:b/>
          <w:bCs w:val="0"/>
        </w:rPr>
        <w:t xml:space="preserve"> </w:t>
      </w:r>
      <w:r w:rsidR="00A844F0" w:rsidRPr="00703DE4">
        <w:rPr>
          <w:b/>
          <w:bCs w:val="0"/>
        </w:rPr>
        <w:t>201</w:t>
      </w:r>
      <w:r w:rsidR="00E16A6A" w:rsidRPr="00703DE4">
        <w:rPr>
          <w:rFonts w:hint="cs"/>
          <w:szCs w:val="26"/>
          <w:rtl/>
        </w:rPr>
        <w:t>8</w:t>
      </w:r>
    </w:p>
    <w:p w:rsidR="00A23223" w:rsidRPr="00327428" w:rsidRDefault="00A23223" w:rsidP="00EB3692">
      <w:pPr>
        <w:pBdr>
          <w:top w:val="single" w:sz="4" w:space="7" w:color="auto"/>
          <w:left w:val="single" w:sz="4" w:space="4" w:color="auto"/>
          <w:bottom w:val="single" w:sz="4" w:space="1" w:color="auto"/>
          <w:right w:val="single" w:sz="4" w:space="4" w:color="auto"/>
        </w:pBdr>
        <w:spacing w:line="240" w:lineRule="auto"/>
        <w:ind w:left="285" w:right="0"/>
        <w:rPr>
          <w:b/>
          <w:bCs/>
        </w:rPr>
      </w:pPr>
      <w:r w:rsidRPr="00327428">
        <w:rPr>
          <w:rFonts w:hint="cs"/>
          <w:b/>
          <w:bCs/>
          <w:rtl/>
        </w:rPr>
        <w:t>אספקת אנרגיה ראשונית</w:t>
      </w:r>
    </w:p>
    <w:p w:rsidR="00A23223" w:rsidRPr="00327428"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327428">
        <w:rPr>
          <w:rFonts w:hint="cs"/>
          <w:rtl/>
        </w:rPr>
        <w:t>אספקת אנרגיה ראשונית</w:t>
      </w:r>
      <w:r w:rsidRPr="00327428">
        <w:rPr>
          <w:rtl/>
        </w:rPr>
        <w:t xml:space="preserve"> </w:t>
      </w:r>
      <w:r w:rsidRPr="00327428">
        <w:rPr>
          <w:rFonts w:hint="cs"/>
          <w:rtl/>
        </w:rPr>
        <w:t>הסתכמה בשנת 201</w:t>
      </w:r>
      <w:r w:rsidR="0076558F" w:rsidRPr="00327428">
        <w:rPr>
          <w:rFonts w:hint="cs"/>
          <w:rtl/>
        </w:rPr>
        <w:t>8</w:t>
      </w:r>
      <w:r w:rsidRPr="00327428">
        <w:rPr>
          <w:rFonts w:hint="cs"/>
          <w:rtl/>
        </w:rPr>
        <w:t xml:space="preserve"> ב-2</w:t>
      </w:r>
      <w:r w:rsidR="00327428" w:rsidRPr="00327428">
        <w:rPr>
          <w:rFonts w:hint="cs"/>
          <w:rtl/>
        </w:rPr>
        <w:t>3</w:t>
      </w:r>
      <w:r w:rsidRPr="00327428">
        <w:rPr>
          <w:rFonts w:hint="cs"/>
          <w:rtl/>
        </w:rPr>
        <w:t>,</w:t>
      </w:r>
      <w:r w:rsidR="00327428" w:rsidRPr="00327428">
        <w:rPr>
          <w:rFonts w:hint="cs"/>
          <w:rtl/>
        </w:rPr>
        <w:t>76</w:t>
      </w:r>
      <w:r w:rsidR="00C85C2D">
        <w:rPr>
          <w:rFonts w:hint="cs"/>
          <w:rtl/>
        </w:rPr>
        <w:t>8</w:t>
      </w:r>
      <w:r w:rsidR="007C7B54">
        <w:rPr>
          <w:rFonts w:hint="cs"/>
          <w:rtl/>
        </w:rPr>
        <w:t xml:space="preserve"> אלפי </w:t>
      </w:r>
      <w:proofErr w:type="spellStart"/>
      <w:r w:rsidR="007C7B54">
        <w:rPr>
          <w:rFonts w:hint="cs"/>
          <w:rtl/>
        </w:rPr>
        <w:t>שעט"ן</w:t>
      </w:r>
      <w:proofErr w:type="spellEnd"/>
      <w:r w:rsidR="007C7B54">
        <w:rPr>
          <w:rFonts w:hint="cs"/>
          <w:rtl/>
        </w:rPr>
        <w:t xml:space="preserve"> (שווה ערך לטון </w:t>
      </w:r>
      <w:r w:rsidRPr="00327428">
        <w:rPr>
          <w:rFonts w:hint="cs"/>
          <w:rtl/>
        </w:rPr>
        <w:t xml:space="preserve">נפט) - </w:t>
      </w:r>
      <w:r w:rsidR="00327428" w:rsidRPr="00327428">
        <w:rPr>
          <w:rFonts w:hint="cs"/>
          <w:rtl/>
        </w:rPr>
        <w:t>עלייה</w:t>
      </w:r>
      <w:r w:rsidRPr="00327428">
        <w:rPr>
          <w:rFonts w:hint="cs"/>
          <w:rtl/>
        </w:rPr>
        <w:t xml:space="preserve"> של </w:t>
      </w:r>
      <w:r w:rsidR="006F435B">
        <w:rPr>
          <w:rFonts w:hint="cs"/>
          <w:rtl/>
        </w:rPr>
        <w:t>4.0</w:t>
      </w:r>
      <w:r w:rsidRPr="00327428">
        <w:rPr>
          <w:rFonts w:hint="cs"/>
          <w:rtl/>
        </w:rPr>
        <w:t>% לעומת שנת 201</w:t>
      </w:r>
      <w:r w:rsidR="00327428" w:rsidRPr="00327428">
        <w:rPr>
          <w:rFonts w:hint="cs"/>
          <w:rtl/>
        </w:rPr>
        <w:t>7</w:t>
      </w:r>
      <w:r w:rsidRPr="00327428">
        <w:rPr>
          <w:rFonts w:hint="cs"/>
          <w:rtl/>
        </w:rPr>
        <w:t xml:space="preserve"> (2</w:t>
      </w:r>
      <w:r w:rsidR="00327428" w:rsidRPr="00327428">
        <w:rPr>
          <w:rFonts w:hint="cs"/>
          <w:rtl/>
        </w:rPr>
        <w:t>2</w:t>
      </w:r>
      <w:r w:rsidRPr="00327428">
        <w:rPr>
          <w:rFonts w:hint="cs"/>
          <w:rtl/>
        </w:rPr>
        <w:t>,</w:t>
      </w:r>
      <w:r w:rsidR="00327428" w:rsidRPr="00327428">
        <w:rPr>
          <w:rFonts w:hint="cs"/>
          <w:rtl/>
        </w:rPr>
        <w:t>862</w:t>
      </w:r>
      <w:r w:rsidRPr="00327428">
        <w:rPr>
          <w:rFonts w:hint="cs"/>
          <w:rtl/>
        </w:rPr>
        <w:t xml:space="preserve"> אלפי </w:t>
      </w:r>
      <w:proofErr w:type="spellStart"/>
      <w:r w:rsidRPr="00327428">
        <w:rPr>
          <w:rFonts w:hint="cs"/>
          <w:rtl/>
        </w:rPr>
        <w:t>שעט"ן</w:t>
      </w:r>
      <w:proofErr w:type="spellEnd"/>
      <w:r w:rsidRPr="00327428">
        <w:rPr>
          <w:rFonts w:hint="cs"/>
          <w:rtl/>
        </w:rPr>
        <w:t>).</w:t>
      </w:r>
    </w:p>
    <w:p w:rsidR="00A23223" w:rsidRPr="00763A45"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763A45">
        <w:rPr>
          <w:rtl/>
        </w:rPr>
        <w:t>יחס האנרגיה</w:t>
      </w:r>
      <w:r w:rsidRPr="00763A45">
        <w:rPr>
          <w:rFonts w:hint="cs"/>
          <w:rtl/>
        </w:rPr>
        <w:t xml:space="preserve"> (היחס בין אספקת אנרגיה ראשונית ובין התוצר המקומי הגולמי)</w:t>
      </w:r>
      <w:r w:rsidRPr="00763A45">
        <w:rPr>
          <w:rtl/>
        </w:rPr>
        <w:t xml:space="preserve"> </w:t>
      </w:r>
      <w:r w:rsidR="00763A45" w:rsidRPr="00763A45">
        <w:rPr>
          <w:rFonts w:hint="cs"/>
          <w:rtl/>
        </w:rPr>
        <w:t>עלה</w:t>
      </w:r>
      <w:r w:rsidRPr="00763A45">
        <w:rPr>
          <w:rFonts w:hint="cs"/>
          <w:rtl/>
        </w:rPr>
        <w:t xml:space="preserve"> </w:t>
      </w:r>
      <w:r w:rsidRPr="00763A45">
        <w:rPr>
          <w:rtl/>
        </w:rPr>
        <w:t xml:space="preserve">בשנת </w:t>
      </w:r>
      <w:r w:rsidRPr="00763A45">
        <w:rPr>
          <w:rFonts w:hint="cs"/>
          <w:rtl/>
        </w:rPr>
        <w:t>201</w:t>
      </w:r>
      <w:r w:rsidR="00763A45" w:rsidRPr="00763A45">
        <w:rPr>
          <w:rFonts w:hint="cs"/>
          <w:rtl/>
        </w:rPr>
        <w:t>8</w:t>
      </w:r>
      <w:r w:rsidRPr="00763A45">
        <w:rPr>
          <w:rtl/>
        </w:rPr>
        <w:t xml:space="preserve"> </w:t>
      </w:r>
      <w:r w:rsidRPr="00763A45">
        <w:rPr>
          <w:rFonts w:hint="cs"/>
          <w:rtl/>
        </w:rPr>
        <w:t xml:space="preserve">בשיעור של </w:t>
      </w:r>
      <w:r w:rsidR="00763A45" w:rsidRPr="00763A45">
        <w:rPr>
          <w:rFonts w:hint="cs"/>
          <w:rtl/>
        </w:rPr>
        <w:t>0.5</w:t>
      </w:r>
      <w:r w:rsidRPr="00763A45">
        <w:rPr>
          <w:rFonts w:hint="cs"/>
          <w:rtl/>
        </w:rPr>
        <w:t>%</w:t>
      </w:r>
      <w:r w:rsidR="00EC06E8">
        <w:rPr>
          <w:rFonts w:hint="cs"/>
          <w:rtl/>
        </w:rPr>
        <w:t>,</w:t>
      </w:r>
      <w:r w:rsidRPr="00763A45">
        <w:rPr>
          <w:rFonts w:hint="cs"/>
          <w:rtl/>
        </w:rPr>
        <w:t xml:space="preserve"> </w:t>
      </w:r>
      <w:r w:rsidR="00763A45" w:rsidRPr="00763A45">
        <w:rPr>
          <w:rFonts w:hint="cs"/>
          <w:rtl/>
        </w:rPr>
        <w:t xml:space="preserve">לעומת </w:t>
      </w:r>
      <w:r w:rsidRPr="00763A45">
        <w:rPr>
          <w:rFonts w:hint="cs"/>
          <w:rtl/>
        </w:rPr>
        <w:t xml:space="preserve">ירידה בשיעור של </w:t>
      </w:r>
      <w:r w:rsidR="00763A45" w:rsidRPr="00763A45">
        <w:rPr>
          <w:rFonts w:hint="cs"/>
          <w:rtl/>
        </w:rPr>
        <w:t>4</w:t>
      </w:r>
      <w:r w:rsidRPr="00763A45">
        <w:rPr>
          <w:rFonts w:hint="cs"/>
          <w:rtl/>
        </w:rPr>
        <w:t>.4% בשנת 201</w:t>
      </w:r>
      <w:r w:rsidR="00763A45" w:rsidRPr="00763A45">
        <w:rPr>
          <w:rFonts w:hint="cs"/>
          <w:rtl/>
        </w:rPr>
        <w:t>7</w:t>
      </w:r>
      <w:r w:rsidRPr="00763A45">
        <w:rPr>
          <w:rFonts w:hint="cs"/>
          <w:rtl/>
        </w:rPr>
        <w:t>.</w:t>
      </w:r>
    </w:p>
    <w:p w:rsidR="00A23223" w:rsidRPr="002D063D" w:rsidRDefault="00A23223" w:rsidP="00EB3692">
      <w:pPr>
        <w:pBdr>
          <w:top w:val="single" w:sz="4" w:space="7" w:color="auto"/>
          <w:left w:val="single" w:sz="4" w:space="4" w:color="auto"/>
          <w:bottom w:val="single" w:sz="4" w:space="1" w:color="auto"/>
          <w:right w:val="single" w:sz="4" w:space="4" w:color="auto"/>
        </w:pBdr>
        <w:tabs>
          <w:tab w:val="left" w:pos="4456"/>
        </w:tabs>
        <w:spacing w:line="240" w:lineRule="auto"/>
        <w:ind w:left="285" w:right="0"/>
        <w:rPr>
          <w:b/>
          <w:bCs/>
          <w:rtl/>
        </w:rPr>
      </w:pPr>
      <w:r w:rsidRPr="002D063D">
        <w:rPr>
          <w:rFonts w:hint="cs"/>
          <w:b/>
          <w:bCs/>
          <w:rtl/>
        </w:rPr>
        <w:t>צריכה סופית של אנרגיה</w:t>
      </w:r>
    </w:p>
    <w:p w:rsidR="00A23223" w:rsidRPr="002D063D"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2D063D">
        <w:rPr>
          <w:rFonts w:hint="cs"/>
          <w:rtl/>
        </w:rPr>
        <w:t>ה</w:t>
      </w:r>
      <w:r w:rsidRPr="002D063D">
        <w:rPr>
          <w:rtl/>
        </w:rPr>
        <w:t>צריכ</w:t>
      </w:r>
      <w:r w:rsidRPr="002D063D">
        <w:rPr>
          <w:rFonts w:hint="cs"/>
          <w:rtl/>
        </w:rPr>
        <w:t xml:space="preserve">ה הסופית של אנרגיה </w:t>
      </w:r>
      <w:r w:rsidRPr="002D063D">
        <w:rPr>
          <w:rtl/>
        </w:rPr>
        <w:t>במשק</w:t>
      </w:r>
      <w:r w:rsidRPr="002D063D">
        <w:rPr>
          <w:rFonts w:hint="cs"/>
          <w:rtl/>
        </w:rPr>
        <w:t xml:space="preserve"> עמדה על 15,</w:t>
      </w:r>
      <w:r w:rsidR="002D063D" w:rsidRPr="002D063D">
        <w:rPr>
          <w:rFonts w:hint="cs"/>
          <w:rtl/>
        </w:rPr>
        <w:t>7</w:t>
      </w:r>
      <w:r w:rsidR="006F435B">
        <w:rPr>
          <w:rFonts w:hint="cs"/>
          <w:rtl/>
        </w:rPr>
        <w:t>31</w:t>
      </w:r>
      <w:r w:rsidRPr="002D063D">
        <w:rPr>
          <w:rFonts w:hint="cs"/>
          <w:rtl/>
        </w:rPr>
        <w:t xml:space="preserve"> אלפי </w:t>
      </w:r>
      <w:proofErr w:type="spellStart"/>
      <w:r w:rsidRPr="002D063D">
        <w:rPr>
          <w:rFonts w:hint="cs"/>
          <w:rtl/>
        </w:rPr>
        <w:t>שעט"ן</w:t>
      </w:r>
      <w:proofErr w:type="spellEnd"/>
      <w:r w:rsidRPr="002D063D">
        <w:rPr>
          <w:rFonts w:hint="cs"/>
          <w:rtl/>
        </w:rPr>
        <w:t xml:space="preserve"> - עלייה של </w:t>
      </w:r>
      <w:r w:rsidR="002D063D" w:rsidRPr="002D063D">
        <w:rPr>
          <w:rFonts w:hint="cs"/>
          <w:rtl/>
        </w:rPr>
        <w:t>0.5</w:t>
      </w:r>
      <w:r w:rsidRPr="002D063D">
        <w:rPr>
          <w:rFonts w:hint="cs"/>
          <w:rtl/>
        </w:rPr>
        <w:t>% לעומת 201</w:t>
      </w:r>
      <w:r w:rsidR="002D063D" w:rsidRPr="002D063D">
        <w:rPr>
          <w:rFonts w:hint="cs"/>
          <w:rtl/>
        </w:rPr>
        <w:t>7</w:t>
      </w:r>
      <w:r w:rsidRPr="002D063D">
        <w:rPr>
          <w:rFonts w:hint="cs"/>
          <w:rtl/>
        </w:rPr>
        <w:t xml:space="preserve"> (15,</w:t>
      </w:r>
      <w:r w:rsidR="002D063D" w:rsidRPr="002D063D">
        <w:rPr>
          <w:rFonts w:hint="cs"/>
          <w:rtl/>
        </w:rPr>
        <w:t>647</w:t>
      </w:r>
      <w:r w:rsidR="000C49BD">
        <w:rPr>
          <w:rFonts w:hint="cs"/>
          <w:rtl/>
        </w:rPr>
        <w:t xml:space="preserve"> אלפי </w:t>
      </w:r>
      <w:proofErr w:type="spellStart"/>
      <w:r w:rsidR="000C49BD">
        <w:rPr>
          <w:rFonts w:hint="cs"/>
          <w:rtl/>
        </w:rPr>
        <w:t>שעט"ן</w:t>
      </w:r>
      <w:proofErr w:type="spellEnd"/>
      <w:r w:rsidR="000C49BD">
        <w:rPr>
          <w:rFonts w:hint="cs"/>
          <w:rtl/>
        </w:rPr>
        <w:t>).</w:t>
      </w:r>
    </w:p>
    <w:p w:rsidR="00A23223" w:rsidRPr="008131F2"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8131F2">
        <w:rPr>
          <w:rtl/>
        </w:rPr>
        <w:t xml:space="preserve">צריכת סך </w:t>
      </w:r>
      <w:r w:rsidRPr="008131F2">
        <w:rPr>
          <w:rFonts w:hint="cs"/>
          <w:rtl/>
        </w:rPr>
        <w:t xml:space="preserve">כל מוצרי </w:t>
      </w:r>
      <w:r w:rsidRPr="008131F2">
        <w:rPr>
          <w:rtl/>
        </w:rPr>
        <w:t>הנפט</w:t>
      </w:r>
      <w:r w:rsidRPr="008131F2">
        <w:rPr>
          <w:rFonts w:hint="cs"/>
          <w:rtl/>
        </w:rPr>
        <w:t xml:space="preserve"> הסתכמה </w:t>
      </w:r>
      <w:r w:rsidRPr="008131F2">
        <w:rPr>
          <w:rtl/>
        </w:rPr>
        <w:t>ב-</w:t>
      </w:r>
      <w:r w:rsidRPr="008131F2">
        <w:rPr>
          <w:rFonts w:hint="cs"/>
          <w:rtl/>
        </w:rPr>
        <w:t>8,9</w:t>
      </w:r>
      <w:r w:rsidR="008131F2" w:rsidRPr="008131F2">
        <w:rPr>
          <w:rFonts w:hint="cs"/>
          <w:rtl/>
        </w:rPr>
        <w:t>5</w:t>
      </w:r>
      <w:r w:rsidR="00881DE6">
        <w:rPr>
          <w:rFonts w:hint="cs"/>
          <w:rtl/>
        </w:rPr>
        <w:t>6</w:t>
      </w:r>
      <w:r w:rsidRPr="008131F2">
        <w:rPr>
          <w:rtl/>
        </w:rPr>
        <w:t xml:space="preserve"> אלפי </w:t>
      </w:r>
      <w:proofErr w:type="spellStart"/>
      <w:r w:rsidRPr="008131F2">
        <w:rPr>
          <w:rtl/>
        </w:rPr>
        <w:t>שעט"ן</w:t>
      </w:r>
      <w:proofErr w:type="spellEnd"/>
      <w:r w:rsidRPr="008131F2">
        <w:rPr>
          <w:rFonts w:hint="cs"/>
          <w:rtl/>
        </w:rPr>
        <w:t xml:space="preserve"> - עלייה של </w:t>
      </w:r>
      <w:r w:rsidR="008131F2" w:rsidRPr="008131F2">
        <w:rPr>
          <w:rFonts w:hint="cs"/>
          <w:rtl/>
        </w:rPr>
        <w:t>0.5</w:t>
      </w:r>
      <w:r w:rsidRPr="008131F2">
        <w:rPr>
          <w:rFonts w:hint="cs"/>
          <w:rtl/>
        </w:rPr>
        <w:t>% לעומת 201</w:t>
      </w:r>
      <w:r w:rsidR="008131F2" w:rsidRPr="008131F2">
        <w:rPr>
          <w:rFonts w:hint="cs"/>
          <w:rtl/>
        </w:rPr>
        <w:t>7</w:t>
      </w:r>
      <w:r w:rsidR="00741C97">
        <w:rPr>
          <w:rFonts w:hint="cs"/>
          <w:rtl/>
        </w:rPr>
        <w:t xml:space="preserve"> (8,910 א</w:t>
      </w:r>
      <w:r w:rsidR="00741C97" w:rsidRPr="008131F2">
        <w:rPr>
          <w:rtl/>
        </w:rPr>
        <w:t xml:space="preserve">לפי </w:t>
      </w:r>
      <w:proofErr w:type="spellStart"/>
      <w:r w:rsidR="00741C97" w:rsidRPr="008131F2">
        <w:rPr>
          <w:rtl/>
        </w:rPr>
        <w:t>שעט"ן</w:t>
      </w:r>
      <w:proofErr w:type="spellEnd"/>
      <w:r w:rsidR="00741C97">
        <w:rPr>
          <w:rFonts w:hint="cs"/>
          <w:rtl/>
        </w:rPr>
        <w:t>)</w:t>
      </w:r>
      <w:r w:rsidRPr="008131F2">
        <w:rPr>
          <w:rFonts w:hint="cs"/>
          <w:rtl/>
        </w:rPr>
        <w:t>.</w:t>
      </w:r>
    </w:p>
    <w:p w:rsidR="00A23223" w:rsidRPr="00DC1CD4"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DC1CD4">
        <w:rPr>
          <w:rFonts w:hint="cs"/>
          <w:rtl/>
        </w:rPr>
        <w:t>צריכת חשמל הסתכמה ב-</w:t>
      </w:r>
      <w:r w:rsidR="002D063D" w:rsidRPr="00DC1CD4">
        <w:rPr>
          <w:rFonts w:hint="cs"/>
          <w:rtl/>
        </w:rPr>
        <w:t>5</w:t>
      </w:r>
      <w:r w:rsidRPr="00DC1CD4">
        <w:rPr>
          <w:rFonts w:hint="cs"/>
          <w:rtl/>
        </w:rPr>
        <w:t>,</w:t>
      </w:r>
      <w:r w:rsidR="002D063D" w:rsidRPr="00DC1CD4">
        <w:rPr>
          <w:rFonts w:hint="cs"/>
          <w:rtl/>
        </w:rPr>
        <w:t>013</w:t>
      </w:r>
      <w:r w:rsidRPr="00DC1CD4">
        <w:rPr>
          <w:rFonts w:hint="cs"/>
          <w:rtl/>
        </w:rPr>
        <w:t xml:space="preserve"> </w:t>
      </w:r>
      <w:r w:rsidRPr="00DC1CD4">
        <w:rPr>
          <w:rtl/>
        </w:rPr>
        <w:t xml:space="preserve">אלפי </w:t>
      </w:r>
      <w:proofErr w:type="spellStart"/>
      <w:r w:rsidRPr="00DC1CD4">
        <w:rPr>
          <w:rtl/>
        </w:rPr>
        <w:t>שעט"ן</w:t>
      </w:r>
      <w:proofErr w:type="spellEnd"/>
      <w:r w:rsidRPr="00DC1CD4">
        <w:rPr>
          <w:rtl/>
        </w:rPr>
        <w:t xml:space="preserve"> -</w:t>
      </w:r>
      <w:r w:rsidRPr="00DC1CD4">
        <w:rPr>
          <w:rFonts w:hint="cs"/>
          <w:rtl/>
        </w:rPr>
        <w:t xml:space="preserve"> עלייה של </w:t>
      </w:r>
      <w:r w:rsidR="002D063D" w:rsidRPr="00DC1CD4">
        <w:rPr>
          <w:rFonts w:hint="cs"/>
          <w:rtl/>
        </w:rPr>
        <w:t>2</w:t>
      </w:r>
      <w:r w:rsidRPr="00DC1CD4">
        <w:rPr>
          <w:rFonts w:hint="cs"/>
          <w:rtl/>
        </w:rPr>
        <w:t>.1% לעומת 201</w:t>
      </w:r>
      <w:r w:rsidR="002D063D" w:rsidRPr="00DC1CD4">
        <w:rPr>
          <w:rFonts w:hint="cs"/>
          <w:rtl/>
        </w:rPr>
        <w:t>7</w:t>
      </w:r>
      <w:r w:rsidRPr="00DC1CD4">
        <w:rPr>
          <w:rFonts w:hint="cs"/>
          <w:rtl/>
        </w:rPr>
        <w:t>.</w:t>
      </w:r>
    </w:p>
    <w:p w:rsidR="00A23223" w:rsidRPr="00DC1CD4" w:rsidRDefault="00A23223" w:rsidP="00EB3692">
      <w:pPr>
        <w:pBdr>
          <w:top w:val="single" w:sz="4" w:space="7" w:color="auto"/>
          <w:left w:val="single" w:sz="4" w:space="4" w:color="auto"/>
          <w:bottom w:val="single" w:sz="4" w:space="1" w:color="auto"/>
          <w:right w:val="single" w:sz="4" w:space="4" w:color="auto"/>
        </w:pBdr>
        <w:spacing w:line="240" w:lineRule="auto"/>
        <w:ind w:left="285" w:right="0"/>
        <w:rPr>
          <w:b/>
          <w:bCs/>
        </w:rPr>
      </w:pPr>
      <w:r w:rsidRPr="00DC1CD4">
        <w:rPr>
          <w:rFonts w:hint="cs"/>
          <w:b/>
          <w:bCs/>
          <w:rtl/>
        </w:rPr>
        <w:t>התמרת אנרגיה - ייצור חשמל ותוצרי זיקוק נפט</w:t>
      </w:r>
    </w:p>
    <w:p w:rsidR="002D063D" w:rsidRPr="00DC1CD4" w:rsidRDefault="002D063D"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rtl/>
        </w:rPr>
      </w:pPr>
      <w:r w:rsidRPr="00DC1CD4">
        <w:rPr>
          <w:rtl/>
        </w:rPr>
        <w:t xml:space="preserve">סך ייצור החשמל בשנת 2018 עלה ב-2.1% לעומת שנת 2017 ועמד על 69,004 מיליוני </w:t>
      </w:r>
      <w:proofErr w:type="spellStart"/>
      <w:r w:rsidRPr="00DC1CD4">
        <w:rPr>
          <w:rtl/>
        </w:rPr>
        <w:t>קוט"ש</w:t>
      </w:r>
      <w:proofErr w:type="spellEnd"/>
      <w:r w:rsidRPr="00DC1CD4">
        <w:rPr>
          <w:rtl/>
        </w:rPr>
        <w:t>.</w:t>
      </w:r>
      <w:r w:rsidR="00EF2484">
        <w:rPr>
          <w:rFonts w:hint="cs"/>
          <w:rtl/>
        </w:rPr>
        <w:t xml:space="preserve"> חלקם של יצרני החשמל הפרט</w:t>
      </w:r>
      <w:r w:rsidR="00EC06E8">
        <w:rPr>
          <w:rFonts w:hint="cs"/>
          <w:rtl/>
        </w:rPr>
        <w:t>י</w:t>
      </w:r>
      <w:r w:rsidR="00EF2484">
        <w:rPr>
          <w:rFonts w:hint="cs"/>
          <w:rtl/>
        </w:rPr>
        <w:t>ים מכלל ייצור החשמל ממשיך לעלות וב</w:t>
      </w:r>
      <w:r w:rsidR="00EC06E8">
        <w:rPr>
          <w:rFonts w:hint="cs"/>
          <w:rtl/>
        </w:rPr>
        <w:t>-</w:t>
      </w:r>
      <w:r w:rsidR="00EF2484">
        <w:rPr>
          <w:rFonts w:hint="cs"/>
          <w:rtl/>
        </w:rPr>
        <w:t xml:space="preserve">2018 </w:t>
      </w:r>
      <w:r w:rsidR="00EC06E8">
        <w:rPr>
          <w:rFonts w:hint="cs"/>
          <w:rtl/>
        </w:rPr>
        <w:t xml:space="preserve">הוא </w:t>
      </w:r>
      <w:r w:rsidR="00EF2484">
        <w:rPr>
          <w:rFonts w:hint="cs"/>
          <w:rtl/>
        </w:rPr>
        <w:t xml:space="preserve">עמד על </w:t>
      </w:r>
      <w:r w:rsidRPr="00DC1CD4">
        <w:rPr>
          <w:rtl/>
        </w:rPr>
        <w:t xml:space="preserve">30.6% מסך הייצור לעומת </w:t>
      </w:r>
      <w:r w:rsidR="006F435B">
        <w:rPr>
          <w:rFonts w:hint="cs"/>
          <w:rtl/>
        </w:rPr>
        <w:t>27.8%  ב</w:t>
      </w:r>
      <w:r w:rsidR="00EC06E8">
        <w:rPr>
          <w:rFonts w:hint="cs"/>
          <w:rtl/>
        </w:rPr>
        <w:t>-</w:t>
      </w:r>
      <w:r w:rsidR="006F435B">
        <w:rPr>
          <w:rFonts w:hint="cs"/>
          <w:rtl/>
        </w:rPr>
        <w:t>2017 ו-</w:t>
      </w:r>
      <w:r w:rsidR="002E238E">
        <w:rPr>
          <w:rFonts w:hint="cs"/>
          <w:rtl/>
        </w:rPr>
        <w:t>6.9</w:t>
      </w:r>
      <w:r w:rsidRPr="00DC1CD4">
        <w:rPr>
          <w:rtl/>
        </w:rPr>
        <w:t>% ב</w:t>
      </w:r>
      <w:r w:rsidR="00EC06E8">
        <w:rPr>
          <w:rFonts w:hint="cs"/>
          <w:rtl/>
        </w:rPr>
        <w:t>-</w:t>
      </w:r>
      <w:r w:rsidR="002E238E" w:rsidRPr="00DC1CD4">
        <w:rPr>
          <w:rtl/>
        </w:rPr>
        <w:t>201</w:t>
      </w:r>
      <w:r w:rsidR="002E238E">
        <w:rPr>
          <w:rFonts w:hint="cs"/>
          <w:rtl/>
        </w:rPr>
        <w:t>3</w:t>
      </w:r>
      <w:r w:rsidRPr="00DC1CD4">
        <w:rPr>
          <w:rtl/>
        </w:rPr>
        <w:t>.</w:t>
      </w:r>
    </w:p>
    <w:p w:rsidR="002D063D" w:rsidRPr="002306C5" w:rsidRDefault="002D063D"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rtl/>
        </w:rPr>
      </w:pPr>
      <w:r w:rsidRPr="00DC1CD4">
        <w:rPr>
          <w:rtl/>
        </w:rPr>
        <w:t xml:space="preserve">בשנת 2018, תמהיל </w:t>
      </w:r>
      <w:proofErr w:type="spellStart"/>
      <w:r w:rsidRPr="00DC1CD4">
        <w:rPr>
          <w:rtl/>
        </w:rPr>
        <w:t>הדלקים</w:t>
      </w:r>
      <w:proofErr w:type="spellEnd"/>
      <w:r w:rsidRPr="00DC1CD4">
        <w:rPr>
          <w:rtl/>
        </w:rPr>
        <w:t xml:space="preserve"> לייצור חשמל היה כלהלן: 66.7% גז טבעי, 29.9% פחם ו-0.9% </w:t>
      </w:r>
      <w:proofErr w:type="spellStart"/>
      <w:r w:rsidRPr="00DC1CD4">
        <w:rPr>
          <w:rtl/>
        </w:rPr>
        <w:t>דלקים</w:t>
      </w:r>
      <w:proofErr w:type="spellEnd"/>
      <w:r w:rsidRPr="00DC1CD4">
        <w:rPr>
          <w:rtl/>
        </w:rPr>
        <w:t xml:space="preserve"> </w:t>
      </w:r>
      <w:proofErr w:type="spellStart"/>
      <w:r w:rsidRPr="00DC1CD4">
        <w:rPr>
          <w:rtl/>
        </w:rPr>
        <w:t>פוסיליים</w:t>
      </w:r>
      <w:proofErr w:type="spellEnd"/>
      <w:r w:rsidRPr="00DC1CD4">
        <w:rPr>
          <w:rtl/>
        </w:rPr>
        <w:t xml:space="preserve"> אחרים. </w:t>
      </w:r>
      <w:r w:rsidRPr="002306C5">
        <w:rPr>
          <w:rtl/>
        </w:rPr>
        <w:t>בין השנים 2017 ו- 2018 צריכ</w:t>
      </w:r>
      <w:r w:rsidR="00EC06E8">
        <w:rPr>
          <w:rtl/>
        </w:rPr>
        <w:t>ת הפחם לייצור חשמל ירדה ב-</w:t>
      </w:r>
      <w:r w:rsidR="002E7ED0" w:rsidRPr="002306C5">
        <w:rPr>
          <w:rFonts w:hint="cs"/>
          <w:rtl/>
        </w:rPr>
        <w:t>5.6</w:t>
      </w:r>
      <w:r w:rsidRPr="002306C5">
        <w:rPr>
          <w:rtl/>
        </w:rPr>
        <w:t>%, ובמקביל עלתה צריכת הגז הטבעי לייצור חשמל ב-</w:t>
      </w:r>
      <w:r w:rsidR="002E7ED0" w:rsidRPr="002306C5">
        <w:rPr>
          <w:rFonts w:hint="cs"/>
          <w:rtl/>
        </w:rPr>
        <w:t>11.2</w:t>
      </w:r>
      <w:r w:rsidRPr="002306C5">
        <w:rPr>
          <w:rtl/>
        </w:rPr>
        <w:t>%.</w:t>
      </w:r>
    </w:p>
    <w:p w:rsidR="00A23223" w:rsidRPr="008131F2"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tl/>
        </w:rPr>
      </w:pPr>
      <w:r w:rsidRPr="008131F2">
        <w:rPr>
          <w:rFonts w:hint="cs"/>
          <w:rtl/>
        </w:rPr>
        <w:t>בשנת 201</w:t>
      </w:r>
      <w:r w:rsidR="002E7ED0">
        <w:rPr>
          <w:rFonts w:hint="cs"/>
          <w:rtl/>
        </w:rPr>
        <w:t>8</w:t>
      </w:r>
      <w:r w:rsidRPr="008131F2">
        <w:rPr>
          <w:rFonts w:hint="cs"/>
          <w:rtl/>
        </w:rPr>
        <w:t xml:space="preserve">, זיקוק מוצרי הנפט </w:t>
      </w:r>
      <w:r w:rsidRPr="008131F2">
        <w:rPr>
          <w:rtl/>
        </w:rPr>
        <w:t>הסתכ</w:t>
      </w:r>
      <w:r w:rsidRPr="008131F2">
        <w:rPr>
          <w:rFonts w:hint="cs"/>
          <w:rtl/>
        </w:rPr>
        <w:t>ם</w:t>
      </w:r>
      <w:r w:rsidRPr="008131F2">
        <w:rPr>
          <w:rtl/>
        </w:rPr>
        <w:t xml:space="preserve"> ב-</w:t>
      </w:r>
      <w:r w:rsidRPr="008131F2">
        <w:rPr>
          <w:rFonts w:hint="cs"/>
          <w:rtl/>
        </w:rPr>
        <w:t>1</w:t>
      </w:r>
      <w:r w:rsidR="008131F2" w:rsidRPr="008131F2">
        <w:rPr>
          <w:rFonts w:hint="cs"/>
          <w:rtl/>
        </w:rPr>
        <w:t>4</w:t>
      </w:r>
      <w:r w:rsidRPr="008131F2">
        <w:rPr>
          <w:rFonts w:hint="cs"/>
          <w:rtl/>
        </w:rPr>
        <w:t>,</w:t>
      </w:r>
      <w:r w:rsidR="008131F2" w:rsidRPr="008131F2">
        <w:rPr>
          <w:rFonts w:hint="cs"/>
          <w:rtl/>
        </w:rPr>
        <w:t>73</w:t>
      </w:r>
      <w:r w:rsidR="00175694">
        <w:rPr>
          <w:rFonts w:hint="cs"/>
          <w:rtl/>
        </w:rPr>
        <w:t>4</w:t>
      </w:r>
      <w:r w:rsidRPr="008131F2">
        <w:rPr>
          <w:rFonts w:hint="cs"/>
          <w:rtl/>
        </w:rPr>
        <w:t xml:space="preserve"> אלפי </w:t>
      </w:r>
      <w:proofErr w:type="spellStart"/>
      <w:r w:rsidRPr="008131F2">
        <w:rPr>
          <w:rFonts w:hint="cs"/>
          <w:rtl/>
        </w:rPr>
        <w:t>שעט"ן</w:t>
      </w:r>
      <w:proofErr w:type="spellEnd"/>
      <w:r w:rsidRPr="008131F2">
        <w:rPr>
          <w:rFonts w:hint="cs"/>
          <w:rtl/>
        </w:rPr>
        <w:t xml:space="preserve"> </w:t>
      </w:r>
      <w:r w:rsidRPr="008131F2">
        <w:rPr>
          <w:rtl/>
        </w:rPr>
        <w:t>–</w:t>
      </w:r>
      <w:r w:rsidRPr="008131F2">
        <w:rPr>
          <w:rFonts w:hint="cs"/>
          <w:rtl/>
        </w:rPr>
        <w:t xml:space="preserve"> </w:t>
      </w:r>
      <w:r w:rsidR="008131F2" w:rsidRPr="008131F2">
        <w:rPr>
          <w:rFonts w:hint="cs"/>
          <w:rtl/>
        </w:rPr>
        <w:t>עליי</w:t>
      </w:r>
      <w:r w:rsidR="00175694">
        <w:rPr>
          <w:rFonts w:hint="cs"/>
          <w:rtl/>
        </w:rPr>
        <w:t>ה של</w:t>
      </w:r>
      <w:r w:rsidRPr="008131F2">
        <w:rPr>
          <w:rFonts w:hint="cs"/>
          <w:rtl/>
        </w:rPr>
        <w:t xml:space="preserve"> </w:t>
      </w:r>
      <w:r w:rsidR="008131F2" w:rsidRPr="008131F2">
        <w:rPr>
          <w:rFonts w:hint="cs"/>
          <w:rtl/>
        </w:rPr>
        <w:t>5.3</w:t>
      </w:r>
      <w:r w:rsidRPr="008131F2">
        <w:rPr>
          <w:rFonts w:hint="cs"/>
          <w:rtl/>
        </w:rPr>
        <w:t xml:space="preserve">% לעומת </w:t>
      </w:r>
      <w:r w:rsidR="00175694">
        <w:rPr>
          <w:rFonts w:hint="cs"/>
          <w:rtl/>
        </w:rPr>
        <w:t>2017</w:t>
      </w:r>
      <w:r w:rsidRPr="008131F2">
        <w:rPr>
          <w:rFonts w:hint="cs"/>
          <w:rtl/>
        </w:rPr>
        <w:t>.</w:t>
      </w:r>
    </w:p>
    <w:p w:rsidR="00A23223" w:rsidRPr="008131F2" w:rsidRDefault="00A23223" w:rsidP="00EB3692">
      <w:pPr>
        <w:pBdr>
          <w:top w:val="single" w:sz="4" w:space="7" w:color="auto"/>
          <w:left w:val="single" w:sz="4" w:space="4" w:color="auto"/>
          <w:bottom w:val="single" w:sz="4" w:space="1" w:color="auto"/>
          <w:right w:val="single" w:sz="4" w:space="4" w:color="auto"/>
        </w:pBdr>
        <w:spacing w:line="240" w:lineRule="auto"/>
        <w:ind w:left="285" w:right="0"/>
        <w:rPr>
          <w:b/>
          <w:bCs/>
          <w:rtl/>
        </w:rPr>
      </w:pPr>
      <w:r w:rsidRPr="008131F2">
        <w:rPr>
          <w:rFonts w:hint="cs"/>
          <w:b/>
          <w:bCs/>
          <w:rtl/>
        </w:rPr>
        <w:t>יבוא ויצוא של מוצרי נפט</w:t>
      </w:r>
    </w:p>
    <w:p w:rsidR="00A23223" w:rsidRPr="008131F2"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rPr>
          <w:b/>
          <w:bCs/>
        </w:rPr>
      </w:pPr>
      <w:r w:rsidRPr="008131F2">
        <w:rPr>
          <w:rtl/>
        </w:rPr>
        <w:t xml:space="preserve">יבוא </w:t>
      </w:r>
      <w:r w:rsidRPr="008131F2">
        <w:rPr>
          <w:rFonts w:hint="cs"/>
          <w:rtl/>
        </w:rPr>
        <w:t>מוצרי</w:t>
      </w:r>
      <w:r w:rsidRPr="008131F2">
        <w:rPr>
          <w:rtl/>
        </w:rPr>
        <w:t xml:space="preserve"> נפט הסתכם בשנת 201</w:t>
      </w:r>
      <w:r w:rsidR="008131F2" w:rsidRPr="008131F2">
        <w:rPr>
          <w:rFonts w:hint="cs"/>
          <w:rtl/>
        </w:rPr>
        <w:t>8</w:t>
      </w:r>
      <w:r w:rsidRPr="008131F2">
        <w:rPr>
          <w:rtl/>
        </w:rPr>
        <w:t xml:space="preserve"> ב-</w:t>
      </w:r>
      <w:r w:rsidRPr="008131F2">
        <w:rPr>
          <w:rFonts w:hint="cs"/>
          <w:rtl/>
        </w:rPr>
        <w:t>2,1</w:t>
      </w:r>
      <w:r w:rsidR="008131F2" w:rsidRPr="008131F2">
        <w:rPr>
          <w:rFonts w:hint="cs"/>
          <w:rtl/>
        </w:rPr>
        <w:t>88</w:t>
      </w:r>
      <w:r w:rsidRPr="008131F2">
        <w:rPr>
          <w:rtl/>
        </w:rPr>
        <w:t xml:space="preserve"> אלפי </w:t>
      </w:r>
      <w:proofErr w:type="spellStart"/>
      <w:r w:rsidRPr="008131F2">
        <w:rPr>
          <w:rtl/>
        </w:rPr>
        <w:t>שעט"ן</w:t>
      </w:r>
      <w:proofErr w:type="spellEnd"/>
      <w:r w:rsidRPr="008131F2">
        <w:rPr>
          <w:rtl/>
        </w:rPr>
        <w:t xml:space="preserve">, </w:t>
      </w:r>
      <w:r w:rsidRPr="008131F2">
        <w:rPr>
          <w:rFonts w:hint="cs"/>
          <w:rtl/>
        </w:rPr>
        <w:t>עלייה</w:t>
      </w:r>
      <w:r w:rsidRPr="008131F2">
        <w:rPr>
          <w:rtl/>
        </w:rPr>
        <w:t xml:space="preserve"> של </w:t>
      </w:r>
      <w:r w:rsidR="008131F2" w:rsidRPr="008131F2">
        <w:rPr>
          <w:rFonts w:hint="cs"/>
          <w:rtl/>
        </w:rPr>
        <w:t>5.4</w:t>
      </w:r>
      <w:r w:rsidRPr="008131F2">
        <w:rPr>
          <w:rtl/>
        </w:rPr>
        <w:t>% לעומת 201</w:t>
      </w:r>
      <w:r w:rsidR="008131F2" w:rsidRPr="008131F2">
        <w:rPr>
          <w:rFonts w:hint="cs"/>
          <w:rtl/>
        </w:rPr>
        <w:t>7</w:t>
      </w:r>
      <w:r w:rsidRPr="008131F2">
        <w:rPr>
          <w:rFonts w:hint="cs"/>
          <w:rtl/>
        </w:rPr>
        <w:t xml:space="preserve"> (</w:t>
      </w:r>
      <w:r w:rsidR="008131F2" w:rsidRPr="008131F2">
        <w:rPr>
          <w:rFonts w:hint="cs"/>
          <w:rtl/>
        </w:rPr>
        <w:t>2</w:t>
      </w:r>
      <w:r w:rsidRPr="008131F2">
        <w:rPr>
          <w:rFonts w:hint="cs"/>
          <w:rtl/>
        </w:rPr>
        <w:t>,</w:t>
      </w:r>
      <w:r w:rsidR="008131F2" w:rsidRPr="008131F2">
        <w:rPr>
          <w:rFonts w:hint="cs"/>
          <w:rtl/>
        </w:rPr>
        <w:t>0</w:t>
      </w:r>
      <w:r w:rsidRPr="008131F2">
        <w:rPr>
          <w:rFonts w:hint="cs"/>
          <w:rtl/>
        </w:rPr>
        <w:t xml:space="preserve">75 אלפי </w:t>
      </w:r>
      <w:proofErr w:type="spellStart"/>
      <w:r w:rsidRPr="008131F2">
        <w:rPr>
          <w:rFonts w:hint="cs"/>
          <w:rtl/>
        </w:rPr>
        <w:t>שעט"ן</w:t>
      </w:r>
      <w:proofErr w:type="spellEnd"/>
      <w:r w:rsidRPr="008131F2">
        <w:rPr>
          <w:rFonts w:hint="cs"/>
          <w:rtl/>
        </w:rPr>
        <w:t>).</w:t>
      </w:r>
    </w:p>
    <w:p w:rsidR="00A23223" w:rsidRPr="007E0C76" w:rsidRDefault="00A23223" w:rsidP="00EB3692">
      <w:pPr>
        <w:pStyle w:val="af7"/>
        <w:numPr>
          <w:ilvl w:val="1"/>
          <w:numId w:val="11"/>
        </w:numPr>
        <w:pBdr>
          <w:top w:val="single" w:sz="4" w:space="7" w:color="auto"/>
          <w:left w:val="single" w:sz="4" w:space="4" w:color="auto"/>
          <w:bottom w:val="single" w:sz="4" w:space="1" w:color="auto"/>
          <w:right w:val="single" w:sz="4" w:space="4" w:color="auto"/>
        </w:pBdr>
        <w:spacing w:line="240" w:lineRule="auto"/>
        <w:ind w:right="0"/>
      </w:pPr>
      <w:r w:rsidRPr="007E0C76">
        <w:rPr>
          <w:rFonts w:hint="cs"/>
          <w:rtl/>
        </w:rPr>
        <w:t>יצוא כלל מוצרי הנפט בשנת 201</w:t>
      </w:r>
      <w:r w:rsidR="008131F2" w:rsidRPr="007E0C76">
        <w:rPr>
          <w:rFonts w:hint="cs"/>
          <w:rtl/>
        </w:rPr>
        <w:t>8</w:t>
      </w:r>
      <w:r w:rsidRPr="007E0C76">
        <w:rPr>
          <w:rFonts w:hint="cs"/>
          <w:rtl/>
        </w:rPr>
        <w:t xml:space="preserve">, עלה </w:t>
      </w:r>
      <w:r w:rsidR="00175694">
        <w:rPr>
          <w:rFonts w:hint="cs"/>
          <w:rtl/>
        </w:rPr>
        <w:t>ב-</w:t>
      </w:r>
      <w:r w:rsidR="008131F2" w:rsidRPr="007E0C76">
        <w:rPr>
          <w:rFonts w:hint="cs"/>
          <w:rtl/>
        </w:rPr>
        <w:t>4.2</w:t>
      </w:r>
      <w:r w:rsidRPr="007E0C76">
        <w:rPr>
          <w:rFonts w:hint="cs"/>
          <w:rtl/>
        </w:rPr>
        <w:t>%</w:t>
      </w:r>
      <w:r w:rsidR="00175694">
        <w:rPr>
          <w:rFonts w:hint="cs"/>
          <w:rtl/>
        </w:rPr>
        <w:t>,</w:t>
      </w:r>
      <w:r w:rsidRPr="007E0C76">
        <w:rPr>
          <w:rFonts w:hint="cs"/>
          <w:rtl/>
        </w:rPr>
        <w:t xml:space="preserve"> לעומת </w:t>
      </w:r>
      <w:r w:rsidR="00701778">
        <w:rPr>
          <w:rFonts w:hint="cs"/>
          <w:rtl/>
        </w:rPr>
        <w:t>שנת 2017</w:t>
      </w:r>
      <w:r w:rsidRPr="007E0C76">
        <w:rPr>
          <w:rFonts w:hint="cs"/>
          <w:rtl/>
        </w:rPr>
        <w:t xml:space="preserve"> </w:t>
      </w:r>
      <w:r w:rsidR="00701778">
        <w:rPr>
          <w:rFonts w:hint="cs"/>
          <w:rtl/>
        </w:rPr>
        <w:t>(</w:t>
      </w:r>
      <w:r w:rsidR="008131F2" w:rsidRPr="007E0C76">
        <w:rPr>
          <w:rFonts w:hint="cs"/>
          <w:rtl/>
        </w:rPr>
        <w:t>6,058</w:t>
      </w:r>
      <w:r w:rsidRPr="007E0C76">
        <w:rPr>
          <w:rFonts w:hint="cs"/>
          <w:rtl/>
        </w:rPr>
        <w:t xml:space="preserve"> אלפי </w:t>
      </w:r>
      <w:proofErr w:type="spellStart"/>
      <w:r w:rsidRPr="007E0C76">
        <w:rPr>
          <w:rFonts w:hint="cs"/>
          <w:rtl/>
        </w:rPr>
        <w:t>שעט"ן</w:t>
      </w:r>
      <w:proofErr w:type="spellEnd"/>
      <w:r w:rsidR="00701778">
        <w:rPr>
          <w:rFonts w:hint="cs"/>
          <w:rtl/>
        </w:rPr>
        <w:t>)</w:t>
      </w:r>
      <w:r w:rsidR="00175694">
        <w:rPr>
          <w:rFonts w:hint="cs"/>
          <w:rtl/>
        </w:rPr>
        <w:t>,</w:t>
      </w:r>
      <w:r w:rsidRPr="007E0C76">
        <w:rPr>
          <w:rFonts w:hint="cs"/>
          <w:rtl/>
        </w:rPr>
        <w:t xml:space="preserve"> בעיקר בעקבות </w:t>
      </w:r>
      <w:r w:rsidR="00175694">
        <w:rPr>
          <w:rFonts w:hint="cs"/>
          <w:rtl/>
        </w:rPr>
        <w:t>ה</w:t>
      </w:r>
      <w:r w:rsidRPr="007E0C76">
        <w:rPr>
          <w:rFonts w:hint="cs"/>
          <w:rtl/>
        </w:rPr>
        <w:t>עלייה ביצוא</w:t>
      </w:r>
      <w:r w:rsidR="007E0C76">
        <w:rPr>
          <w:rFonts w:hint="cs"/>
          <w:rtl/>
        </w:rPr>
        <w:t xml:space="preserve"> בנזין וסולר</w:t>
      </w:r>
      <w:r w:rsidRPr="007E0C76">
        <w:rPr>
          <w:rFonts w:hint="cs"/>
          <w:rtl/>
        </w:rPr>
        <w:t>.</w:t>
      </w:r>
    </w:p>
    <w:p w:rsidR="00A23223" w:rsidRPr="00DC1CD4" w:rsidRDefault="00A23223" w:rsidP="00EB3692">
      <w:pPr>
        <w:pBdr>
          <w:top w:val="single" w:sz="4" w:space="7" w:color="auto"/>
          <w:left w:val="single" w:sz="4" w:space="4" w:color="auto"/>
          <w:bottom w:val="single" w:sz="4" w:space="1" w:color="auto"/>
          <w:right w:val="single" w:sz="4" w:space="4" w:color="auto"/>
        </w:pBdr>
        <w:spacing w:line="240" w:lineRule="auto"/>
        <w:ind w:left="285" w:right="0"/>
        <w:rPr>
          <w:b/>
          <w:bCs/>
          <w:rtl/>
        </w:rPr>
      </w:pPr>
      <w:r w:rsidRPr="00DC1CD4">
        <w:rPr>
          <w:rFonts w:hint="cs"/>
          <w:b/>
          <w:bCs/>
          <w:rtl/>
        </w:rPr>
        <w:t>אנרגיה מתחדשת</w:t>
      </w:r>
    </w:p>
    <w:p w:rsidR="00A23223" w:rsidRPr="00DC1CD4" w:rsidRDefault="00DC1CD4" w:rsidP="00EB3692">
      <w:pPr>
        <w:pStyle w:val="af7"/>
        <w:numPr>
          <w:ilvl w:val="0"/>
          <w:numId w:val="38"/>
        </w:numPr>
        <w:pBdr>
          <w:top w:val="single" w:sz="4" w:space="7" w:color="auto"/>
          <w:left w:val="single" w:sz="4" w:space="4" w:color="auto"/>
          <w:bottom w:val="single" w:sz="4" w:space="1" w:color="auto"/>
          <w:right w:val="single" w:sz="4" w:space="4" w:color="auto"/>
        </w:pBdr>
        <w:ind w:right="0"/>
      </w:pPr>
      <w:r w:rsidRPr="00DC1CD4">
        <w:rPr>
          <w:rtl/>
        </w:rPr>
        <w:t>בשנת 2018 סך הפקת האנרגיה מאנרגיות מתחדשות עמדה על 66</w:t>
      </w:r>
      <w:r w:rsidR="00D67FC4">
        <w:rPr>
          <w:rFonts w:hint="cs"/>
          <w:rtl/>
        </w:rPr>
        <w:t>9</w:t>
      </w:r>
      <w:r w:rsidRPr="00DC1CD4">
        <w:rPr>
          <w:rtl/>
        </w:rPr>
        <w:t>.</w:t>
      </w:r>
      <w:r w:rsidR="00D67FC4">
        <w:rPr>
          <w:rFonts w:hint="cs"/>
          <w:rtl/>
        </w:rPr>
        <w:t>7</w:t>
      </w:r>
      <w:r w:rsidRPr="00DC1CD4">
        <w:rPr>
          <w:rtl/>
        </w:rPr>
        <w:t xml:space="preserve"> אלפי </w:t>
      </w:r>
      <w:proofErr w:type="spellStart"/>
      <w:r w:rsidRPr="00DC1CD4">
        <w:rPr>
          <w:rtl/>
        </w:rPr>
        <w:t>שעט"ן</w:t>
      </w:r>
      <w:proofErr w:type="spellEnd"/>
      <w:r w:rsidRPr="00DC1CD4">
        <w:rPr>
          <w:rtl/>
        </w:rPr>
        <w:t xml:space="preserve"> </w:t>
      </w:r>
      <w:r w:rsidR="00E8165A">
        <w:rPr>
          <w:rFonts w:hint="cs"/>
          <w:rtl/>
        </w:rPr>
        <w:t xml:space="preserve">(2.8% </w:t>
      </w:r>
      <w:r w:rsidRPr="00E8165A">
        <w:rPr>
          <w:rtl/>
        </w:rPr>
        <w:t>מכלל אספק</w:t>
      </w:r>
      <w:bookmarkStart w:id="0" w:name="_GoBack"/>
      <w:bookmarkEnd w:id="0"/>
      <w:r w:rsidRPr="00E8165A">
        <w:rPr>
          <w:rtl/>
        </w:rPr>
        <w:t>ת האנרגיה הראשונית),</w:t>
      </w:r>
      <w:r w:rsidRPr="00DC1CD4">
        <w:rPr>
          <w:color w:val="FF0000"/>
          <w:rtl/>
        </w:rPr>
        <w:t xml:space="preserve"> </w:t>
      </w:r>
      <w:r w:rsidRPr="00DC1CD4">
        <w:rPr>
          <w:rtl/>
        </w:rPr>
        <w:t>מתוכם 36</w:t>
      </w:r>
      <w:r w:rsidR="00D67FC4">
        <w:rPr>
          <w:rFonts w:hint="cs"/>
          <w:rtl/>
        </w:rPr>
        <w:t>8</w:t>
      </w:r>
      <w:r w:rsidRPr="00DC1CD4">
        <w:rPr>
          <w:rtl/>
        </w:rPr>
        <w:t>.</w:t>
      </w:r>
      <w:r w:rsidR="00D67FC4">
        <w:rPr>
          <w:rFonts w:hint="cs"/>
          <w:rtl/>
        </w:rPr>
        <w:t>4</w:t>
      </w:r>
      <w:r w:rsidRPr="00DC1CD4">
        <w:rPr>
          <w:rtl/>
        </w:rPr>
        <w:t xml:space="preserve"> אלפי </w:t>
      </w:r>
      <w:proofErr w:type="spellStart"/>
      <w:r w:rsidRPr="00DC1CD4">
        <w:rPr>
          <w:rtl/>
        </w:rPr>
        <w:t>שעט"ן</w:t>
      </w:r>
      <w:proofErr w:type="spellEnd"/>
      <w:r w:rsidRPr="00DC1CD4">
        <w:rPr>
          <w:rtl/>
        </w:rPr>
        <w:t xml:space="preserve"> מחימום מים בדודי שמש ביתיים, 164.6 אלפי </w:t>
      </w:r>
      <w:proofErr w:type="spellStart"/>
      <w:r w:rsidRPr="00DC1CD4">
        <w:rPr>
          <w:rtl/>
        </w:rPr>
        <w:t>שעט"ן</w:t>
      </w:r>
      <w:proofErr w:type="spellEnd"/>
      <w:r w:rsidRPr="00DC1CD4">
        <w:rPr>
          <w:rtl/>
        </w:rPr>
        <w:t xml:space="preserve"> מאנרגיה לייצור חשמל באמצעות שמש, רוח, מים וביו-גז ו-136.6 אלפי </w:t>
      </w:r>
      <w:proofErr w:type="spellStart"/>
      <w:r w:rsidRPr="00DC1CD4">
        <w:rPr>
          <w:rtl/>
        </w:rPr>
        <w:t>שעט"ן</w:t>
      </w:r>
      <w:proofErr w:type="spellEnd"/>
      <w:r w:rsidRPr="00DC1CD4">
        <w:rPr>
          <w:rtl/>
        </w:rPr>
        <w:t xml:space="preserve"> </w:t>
      </w:r>
      <w:r w:rsidR="002306C5" w:rsidRPr="002306C5">
        <w:rPr>
          <w:rtl/>
        </w:rPr>
        <w:t>משרפת פסולת ו</w:t>
      </w:r>
      <w:r w:rsidR="00175694">
        <w:rPr>
          <w:rFonts w:hint="cs"/>
          <w:rtl/>
        </w:rPr>
        <w:t>מ</w:t>
      </w:r>
      <w:r w:rsidR="002306C5" w:rsidRPr="002306C5">
        <w:rPr>
          <w:rtl/>
        </w:rPr>
        <w:t>ניצול חום שיורי מתהליכי ייצור</w:t>
      </w:r>
      <w:r w:rsidRPr="00DC1CD4">
        <w:rPr>
          <w:rtl/>
        </w:rPr>
        <w:t>.</w:t>
      </w:r>
    </w:p>
    <w:p w:rsidR="00AE6B14" w:rsidRPr="00175694" w:rsidRDefault="00AE6B14" w:rsidP="00703DE4">
      <w:pPr>
        <w:pStyle w:val="a0"/>
        <w:spacing w:before="120"/>
        <w:jc w:val="left"/>
        <w:rPr>
          <w:sz w:val="24"/>
        </w:rPr>
      </w:pPr>
      <w:r w:rsidRPr="00175694">
        <w:rPr>
          <w:sz w:val="24"/>
          <w:rtl/>
        </w:rPr>
        <w:t>בהודעה זו עודכנו נתוני מאזני האנרגיה של שנים קודמות</w:t>
      </w:r>
    </w:p>
    <w:p w:rsidR="00EA6CE7" w:rsidRPr="00175694" w:rsidRDefault="00520122" w:rsidP="00703DE4">
      <w:pPr>
        <w:pStyle w:val="a0"/>
        <w:jc w:val="left"/>
        <w:rPr>
          <w:rStyle w:val="Hyperlink"/>
          <w:b w:val="0"/>
          <w:bCs w:val="0"/>
          <w:sz w:val="24"/>
          <w:rtl/>
        </w:rPr>
      </w:pPr>
      <w:hyperlink w:anchor="הגדרות" w:history="1">
        <w:r w:rsidR="00175694" w:rsidRPr="00175694">
          <w:rPr>
            <w:rStyle w:val="Hyperlink"/>
            <w:rFonts w:hint="cs"/>
            <w:sz w:val="24"/>
            <w:rtl/>
          </w:rPr>
          <w:t>להגדרות</w:t>
        </w:r>
      </w:hyperlink>
    </w:p>
    <w:p w:rsidR="0031307D" w:rsidRPr="00105DDB" w:rsidRDefault="001316A9" w:rsidP="00703DE4">
      <w:pPr>
        <w:pStyle w:val="2"/>
        <w:rPr>
          <w:rtl/>
        </w:rPr>
      </w:pPr>
      <w:r w:rsidRPr="00105DDB">
        <w:rPr>
          <w:rFonts w:hint="cs"/>
          <w:rtl/>
        </w:rPr>
        <w:lastRenderedPageBreak/>
        <w:t>אספקה ראשונית ויחס האנרגיה</w:t>
      </w:r>
    </w:p>
    <w:p w:rsidR="00A953F5" w:rsidRPr="00763A45" w:rsidRDefault="006C1597" w:rsidP="00EB3692">
      <w:pPr>
        <w:spacing w:before="240" w:after="240"/>
        <w:rPr>
          <w:rtl/>
        </w:rPr>
      </w:pPr>
      <w:r w:rsidRPr="00763A45">
        <w:rPr>
          <w:rtl/>
        </w:rPr>
        <w:t xml:space="preserve">אספקת האנרגיה הראשונית </w:t>
      </w:r>
      <w:r w:rsidRPr="00763A45">
        <w:rPr>
          <w:rFonts w:hint="cs"/>
          <w:rtl/>
        </w:rPr>
        <w:t>ל</w:t>
      </w:r>
      <w:r w:rsidRPr="00763A45">
        <w:rPr>
          <w:rtl/>
        </w:rPr>
        <w:t>משק הסתכמה בשנת 20</w:t>
      </w:r>
      <w:r w:rsidRPr="00763A45">
        <w:rPr>
          <w:rFonts w:hint="cs"/>
          <w:rtl/>
        </w:rPr>
        <w:t>1</w:t>
      </w:r>
      <w:r w:rsidR="00763A45" w:rsidRPr="00763A45">
        <w:rPr>
          <w:rFonts w:hint="cs"/>
          <w:rtl/>
        </w:rPr>
        <w:t>8</w:t>
      </w:r>
      <w:r w:rsidRPr="00763A45">
        <w:rPr>
          <w:rtl/>
        </w:rPr>
        <w:t xml:space="preserve"> ב-</w:t>
      </w:r>
      <w:r w:rsidR="00763A45" w:rsidRPr="00763A45">
        <w:rPr>
          <w:rFonts w:hint="cs"/>
          <w:rtl/>
        </w:rPr>
        <w:t>23,76</w:t>
      </w:r>
      <w:r w:rsidR="00F425A9">
        <w:rPr>
          <w:rFonts w:hint="cs"/>
          <w:rtl/>
        </w:rPr>
        <w:t>8</w:t>
      </w:r>
      <w:r w:rsidRPr="00763A45">
        <w:rPr>
          <w:rFonts w:hint="cs"/>
          <w:rtl/>
        </w:rPr>
        <w:t xml:space="preserve"> </w:t>
      </w:r>
      <w:r w:rsidRPr="00763A45">
        <w:rPr>
          <w:rtl/>
        </w:rPr>
        <w:t xml:space="preserve">אלפי </w:t>
      </w:r>
      <w:proofErr w:type="spellStart"/>
      <w:r w:rsidRPr="00763A45">
        <w:rPr>
          <w:rtl/>
        </w:rPr>
        <w:t>שעט"ן</w:t>
      </w:r>
      <w:proofErr w:type="spellEnd"/>
      <w:r w:rsidR="00444609" w:rsidRPr="00763A45">
        <w:rPr>
          <w:rFonts w:hint="cs"/>
          <w:rtl/>
        </w:rPr>
        <w:t xml:space="preserve"> </w:t>
      </w:r>
      <w:r w:rsidRPr="00763A45">
        <w:rPr>
          <w:rFonts w:hint="cs"/>
          <w:rtl/>
        </w:rPr>
        <w:t xml:space="preserve">- </w:t>
      </w:r>
      <w:r w:rsidR="00763A45" w:rsidRPr="00763A45">
        <w:rPr>
          <w:rFonts w:hint="cs"/>
          <w:rtl/>
        </w:rPr>
        <w:t>עלייה</w:t>
      </w:r>
      <w:r w:rsidRPr="00763A45">
        <w:rPr>
          <w:rFonts w:hint="cs"/>
          <w:rtl/>
        </w:rPr>
        <w:t xml:space="preserve"> של </w:t>
      </w:r>
      <w:r w:rsidR="00F425A9">
        <w:rPr>
          <w:rFonts w:hint="cs"/>
          <w:rtl/>
        </w:rPr>
        <w:t>4.0</w:t>
      </w:r>
      <w:r w:rsidRPr="00763A45">
        <w:rPr>
          <w:rFonts w:hint="cs"/>
          <w:rtl/>
        </w:rPr>
        <w:t xml:space="preserve">% לעומת </w:t>
      </w:r>
      <w:r w:rsidR="00444609" w:rsidRPr="00763A45">
        <w:rPr>
          <w:rFonts w:hint="cs"/>
          <w:rtl/>
        </w:rPr>
        <w:t>ה</w:t>
      </w:r>
      <w:r w:rsidRPr="00763A45">
        <w:rPr>
          <w:rFonts w:hint="cs"/>
          <w:rtl/>
        </w:rPr>
        <w:t xml:space="preserve">שנה </w:t>
      </w:r>
      <w:r w:rsidR="00444609" w:rsidRPr="00763A45">
        <w:rPr>
          <w:rFonts w:hint="cs"/>
          <w:rtl/>
        </w:rPr>
        <w:t>ה</w:t>
      </w:r>
      <w:r w:rsidRPr="00763A45">
        <w:rPr>
          <w:rFonts w:hint="cs"/>
          <w:rtl/>
        </w:rPr>
        <w:t>קודמת (2</w:t>
      </w:r>
      <w:r w:rsidR="00763A45" w:rsidRPr="00763A45">
        <w:rPr>
          <w:rFonts w:hint="cs"/>
          <w:rtl/>
        </w:rPr>
        <w:t>2</w:t>
      </w:r>
      <w:r w:rsidRPr="00763A45">
        <w:rPr>
          <w:rFonts w:hint="cs"/>
          <w:rtl/>
        </w:rPr>
        <w:t>,</w:t>
      </w:r>
      <w:r w:rsidR="00763A45" w:rsidRPr="00763A45">
        <w:rPr>
          <w:rFonts w:hint="cs"/>
          <w:rtl/>
        </w:rPr>
        <w:t>862</w:t>
      </w:r>
      <w:r w:rsidR="005E3173" w:rsidRPr="00763A45">
        <w:rPr>
          <w:rFonts w:hint="cs"/>
          <w:rtl/>
        </w:rPr>
        <w:t xml:space="preserve"> </w:t>
      </w:r>
      <w:r w:rsidRPr="00763A45">
        <w:rPr>
          <w:rFonts w:hint="cs"/>
          <w:rtl/>
        </w:rPr>
        <w:t xml:space="preserve">אלפי </w:t>
      </w:r>
      <w:proofErr w:type="spellStart"/>
      <w:r w:rsidRPr="00763A45">
        <w:rPr>
          <w:rFonts w:hint="cs"/>
          <w:rtl/>
        </w:rPr>
        <w:t>שעט"ן</w:t>
      </w:r>
      <w:proofErr w:type="spellEnd"/>
      <w:r w:rsidRPr="00763A45">
        <w:rPr>
          <w:rFonts w:hint="cs"/>
          <w:rtl/>
        </w:rPr>
        <w:t xml:space="preserve">). </w:t>
      </w:r>
      <w:r w:rsidR="00A953F5" w:rsidRPr="00763A45">
        <w:rPr>
          <w:rFonts w:hint="cs"/>
          <w:rtl/>
        </w:rPr>
        <w:t xml:space="preserve">הפקה מקומית של גז טבעי ואנרגיה מתחדשת </w:t>
      </w:r>
      <w:r w:rsidR="00EB3692">
        <w:rPr>
          <w:rFonts w:hint="cs"/>
          <w:rtl/>
        </w:rPr>
        <w:t>היו</w:t>
      </w:r>
      <w:r w:rsidR="00A953F5" w:rsidRPr="00763A45">
        <w:rPr>
          <w:rFonts w:hint="cs"/>
          <w:rtl/>
        </w:rPr>
        <w:t xml:space="preserve"> </w:t>
      </w:r>
      <w:r w:rsidR="00F425A9">
        <w:rPr>
          <w:rFonts w:hint="cs"/>
          <w:rtl/>
        </w:rPr>
        <w:t>41.4</w:t>
      </w:r>
      <w:r w:rsidR="00A953F5" w:rsidRPr="00763A45">
        <w:rPr>
          <w:rFonts w:hint="cs"/>
          <w:rtl/>
        </w:rPr>
        <w:t>% מאספקת האנרגיה הראשונית למשק</w:t>
      </w:r>
      <w:r w:rsidR="008A113C" w:rsidRPr="00763A45">
        <w:rPr>
          <w:rFonts w:hint="cs"/>
          <w:rtl/>
        </w:rPr>
        <w:t xml:space="preserve"> (</w:t>
      </w:r>
      <w:r w:rsidR="008A113C" w:rsidRPr="00763A45">
        <w:rPr>
          <w:rtl/>
        </w:rPr>
        <w:t xml:space="preserve">ללא </w:t>
      </w:r>
      <w:r w:rsidR="00422B7F" w:rsidRPr="00763A45">
        <w:rPr>
          <w:rFonts w:hint="cs"/>
          <w:rtl/>
        </w:rPr>
        <w:t>יצוא</w:t>
      </w:r>
      <w:r w:rsidR="008A113C" w:rsidRPr="00763A45">
        <w:rPr>
          <w:rtl/>
        </w:rPr>
        <w:t xml:space="preserve"> חשמל</w:t>
      </w:r>
      <w:r w:rsidR="008A113C" w:rsidRPr="00763A45">
        <w:rPr>
          <w:rFonts w:hint="cs"/>
          <w:rtl/>
        </w:rPr>
        <w:t>)</w:t>
      </w:r>
      <w:r w:rsidR="00A953F5" w:rsidRPr="00763A45">
        <w:rPr>
          <w:rFonts w:hint="cs"/>
          <w:rtl/>
        </w:rPr>
        <w:t>.</w:t>
      </w:r>
    </w:p>
    <w:p w:rsidR="00932529" w:rsidRPr="00763A45" w:rsidRDefault="00932529" w:rsidP="00763A45">
      <w:pPr>
        <w:pStyle w:val="aa"/>
        <w:rPr>
          <w:rStyle w:val="afa"/>
          <w:rFonts w:cs="Arial"/>
          <w:bCs/>
          <w:rtl/>
        </w:rPr>
      </w:pPr>
      <w:r w:rsidRPr="00763A45">
        <w:rPr>
          <w:rStyle w:val="afa"/>
          <w:rFonts w:cs="Arial"/>
          <w:bCs/>
          <w:rtl/>
        </w:rPr>
        <w:t>תרשים 1- אספקת אנרגיה ראשונית לפי סוג, 201</w:t>
      </w:r>
      <w:r w:rsidR="00763A45" w:rsidRPr="00763A45">
        <w:rPr>
          <w:rStyle w:val="afa"/>
          <w:rFonts w:cs="Arial" w:hint="cs"/>
          <w:bCs/>
          <w:rtl/>
        </w:rPr>
        <w:t>8</w:t>
      </w:r>
      <w:r w:rsidRPr="00763A45">
        <w:rPr>
          <w:rStyle w:val="afa"/>
          <w:rFonts w:cs="Arial"/>
          <w:bCs/>
          <w:rtl/>
        </w:rPr>
        <w:t>(1)</w:t>
      </w:r>
    </w:p>
    <w:p w:rsidR="00C023A7" w:rsidRPr="00E16A6A" w:rsidRDefault="00393C1A" w:rsidP="008F7F11">
      <w:pPr>
        <w:pStyle w:val="a0"/>
        <w:jc w:val="center"/>
        <w:rPr>
          <w:color w:val="548DD4" w:themeColor="text2" w:themeTint="99"/>
          <w:rtl/>
        </w:rPr>
      </w:pPr>
      <w:r>
        <w:rPr>
          <w:noProof/>
          <w:color w:val="548DD4" w:themeColor="text2" w:themeTint="99"/>
        </w:rPr>
        <w:drawing>
          <wp:inline distT="0" distB="0" distL="0" distR="0" wp14:anchorId="0578A537" wp14:editId="0066E1DC">
            <wp:extent cx="3458750" cy="2330868"/>
            <wp:effectExtent l="0" t="0" r="8890" b="0"/>
            <wp:docPr id="6" name="תמונה 6" descr="תרשים 1- אספקת אנרגיה ראשונית לפי סוג, 2018(1)" title="תרשים 1- אספקת אנרגיה ראשונית לפי סוג, 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9187" cy="2331162"/>
                    </a:xfrm>
                    <a:prstGeom prst="rect">
                      <a:avLst/>
                    </a:prstGeom>
                    <a:noFill/>
                  </pic:spPr>
                </pic:pic>
              </a:graphicData>
            </a:graphic>
          </wp:inline>
        </w:drawing>
      </w:r>
    </w:p>
    <w:p w:rsidR="00932529" w:rsidRPr="00763A45" w:rsidRDefault="00932529" w:rsidP="00422B7F">
      <w:pPr>
        <w:spacing w:after="240"/>
        <w:jc w:val="center"/>
        <w:rPr>
          <w:rtl/>
        </w:rPr>
      </w:pPr>
      <w:r w:rsidRPr="00763A45">
        <w:rPr>
          <w:rtl/>
        </w:rPr>
        <w:t xml:space="preserve">(1) אספקת אנרגיה ראשונית ללא </w:t>
      </w:r>
      <w:r w:rsidR="00422B7F" w:rsidRPr="00763A45">
        <w:rPr>
          <w:rFonts w:hint="cs"/>
          <w:rtl/>
        </w:rPr>
        <w:t>יצוא</w:t>
      </w:r>
      <w:r w:rsidRPr="00763A45">
        <w:rPr>
          <w:rtl/>
        </w:rPr>
        <w:t xml:space="preserve"> חשמל</w:t>
      </w:r>
    </w:p>
    <w:p w:rsidR="006C1597" w:rsidRPr="00117B96" w:rsidRDefault="006C1597" w:rsidP="00F86ABA">
      <w:pPr>
        <w:spacing w:after="240"/>
        <w:rPr>
          <w:rtl/>
        </w:rPr>
      </w:pPr>
      <w:r w:rsidRPr="00117B96">
        <w:rPr>
          <w:rtl/>
        </w:rPr>
        <w:t xml:space="preserve">יחס האנרגיה עמד בשנת </w:t>
      </w:r>
      <w:r w:rsidRPr="00117B96">
        <w:rPr>
          <w:rFonts w:hint="cs"/>
          <w:rtl/>
        </w:rPr>
        <w:t>201</w:t>
      </w:r>
      <w:r w:rsidR="00763A45" w:rsidRPr="00117B96">
        <w:rPr>
          <w:rFonts w:hint="cs"/>
          <w:rtl/>
        </w:rPr>
        <w:t>8</w:t>
      </w:r>
      <w:r w:rsidRPr="00117B96">
        <w:rPr>
          <w:rtl/>
        </w:rPr>
        <w:t xml:space="preserve"> על </w:t>
      </w:r>
      <w:r w:rsidR="000E355C" w:rsidRPr="00117B96">
        <w:rPr>
          <w:rFonts w:hint="cs"/>
          <w:rtl/>
        </w:rPr>
        <w:t>1</w:t>
      </w:r>
      <w:r w:rsidR="00C376D7" w:rsidRPr="00117B96">
        <w:rPr>
          <w:rFonts w:hint="cs"/>
          <w:rtl/>
        </w:rPr>
        <w:t>8</w:t>
      </w:r>
      <w:r w:rsidR="000E355C" w:rsidRPr="00117B96">
        <w:rPr>
          <w:rFonts w:hint="cs"/>
          <w:rtl/>
        </w:rPr>
        <w:t>.</w:t>
      </w:r>
      <w:r w:rsidR="00763A45" w:rsidRPr="00117B96">
        <w:rPr>
          <w:rFonts w:hint="cs"/>
          <w:rtl/>
        </w:rPr>
        <w:t>3</w:t>
      </w:r>
      <w:r w:rsidR="00EB5BF5">
        <w:rPr>
          <w:rFonts w:hint="cs"/>
          <w:rtl/>
        </w:rPr>
        <w:t>1</w:t>
      </w:r>
      <w:r w:rsidRPr="00117B96">
        <w:rPr>
          <w:rFonts w:hint="cs"/>
          <w:rtl/>
        </w:rPr>
        <w:t xml:space="preserve"> לעומת </w:t>
      </w:r>
      <w:r w:rsidR="00C376D7" w:rsidRPr="00117B96">
        <w:rPr>
          <w:rFonts w:hint="cs"/>
          <w:rtl/>
        </w:rPr>
        <w:t>18.</w:t>
      </w:r>
      <w:r w:rsidR="00763A45" w:rsidRPr="00117B96">
        <w:rPr>
          <w:rFonts w:hint="cs"/>
          <w:rtl/>
        </w:rPr>
        <w:t>22</w:t>
      </w:r>
      <w:r w:rsidRPr="00117B96">
        <w:rPr>
          <w:rFonts w:hint="cs"/>
          <w:rtl/>
        </w:rPr>
        <w:t xml:space="preserve"> בשנת 201</w:t>
      </w:r>
      <w:r w:rsidR="00763A45" w:rsidRPr="00117B96">
        <w:rPr>
          <w:rFonts w:hint="cs"/>
          <w:rtl/>
        </w:rPr>
        <w:t>7</w:t>
      </w:r>
      <w:r w:rsidRPr="00117B96">
        <w:rPr>
          <w:rFonts w:hint="cs"/>
          <w:rtl/>
        </w:rPr>
        <w:t xml:space="preserve">. שינוי זה, </w:t>
      </w:r>
      <w:r w:rsidR="00444609" w:rsidRPr="00117B96">
        <w:rPr>
          <w:rFonts w:hint="cs"/>
          <w:rtl/>
        </w:rPr>
        <w:t xml:space="preserve">מבטא </w:t>
      </w:r>
      <w:r w:rsidR="00763A45" w:rsidRPr="00117B96">
        <w:rPr>
          <w:rFonts w:hint="cs"/>
          <w:rtl/>
        </w:rPr>
        <w:t>עלייה</w:t>
      </w:r>
      <w:r w:rsidR="00444609" w:rsidRPr="00117B96">
        <w:rPr>
          <w:rFonts w:hint="cs"/>
          <w:rtl/>
        </w:rPr>
        <w:t xml:space="preserve"> בשיעור של </w:t>
      </w:r>
      <w:r w:rsidR="00763A45" w:rsidRPr="00117B96">
        <w:rPr>
          <w:rFonts w:hint="cs"/>
          <w:rtl/>
        </w:rPr>
        <w:t>0.5</w:t>
      </w:r>
      <w:r w:rsidR="00444609" w:rsidRPr="00117B96">
        <w:rPr>
          <w:rFonts w:hint="cs"/>
          <w:rtl/>
        </w:rPr>
        <w:t xml:space="preserve">% </w:t>
      </w:r>
      <w:r w:rsidRPr="00117B96">
        <w:rPr>
          <w:rFonts w:hint="cs"/>
          <w:rtl/>
        </w:rPr>
        <w:t xml:space="preserve">לעומת </w:t>
      </w:r>
      <w:r w:rsidR="00444609" w:rsidRPr="00117B96">
        <w:rPr>
          <w:rFonts w:hint="cs"/>
          <w:rtl/>
        </w:rPr>
        <w:t>ה</w:t>
      </w:r>
      <w:r w:rsidRPr="00117B96">
        <w:rPr>
          <w:rFonts w:hint="cs"/>
          <w:rtl/>
        </w:rPr>
        <w:t xml:space="preserve">שנה </w:t>
      </w:r>
      <w:r w:rsidR="00444609" w:rsidRPr="00117B96">
        <w:rPr>
          <w:rFonts w:hint="cs"/>
          <w:rtl/>
        </w:rPr>
        <w:t>ה</w:t>
      </w:r>
      <w:r w:rsidR="00635FD4">
        <w:rPr>
          <w:rFonts w:hint="cs"/>
          <w:rtl/>
        </w:rPr>
        <w:t>קודמת</w:t>
      </w:r>
      <w:r w:rsidR="00F86ABA">
        <w:rPr>
          <w:rFonts w:hint="cs"/>
          <w:rtl/>
        </w:rPr>
        <w:t>,</w:t>
      </w:r>
      <w:r w:rsidRPr="00117B96">
        <w:rPr>
          <w:rFonts w:hint="cs"/>
          <w:rtl/>
        </w:rPr>
        <w:t xml:space="preserve"> </w:t>
      </w:r>
      <w:r w:rsidR="00635FD4">
        <w:rPr>
          <w:rFonts w:hint="cs"/>
          <w:rtl/>
        </w:rPr>
        <w:t>בניגוד</w:t>
      </w:r>
      <w:r w:rsidR="00763A45" w:rsidRPr="00117B96">
        <w:rPr>
          <w:rFonts w:hint="cs"/>
          <w:rtl/>
        </w:rPr>
        <w:t xml:space="preserve"> </w:t>
      </w:r>
      <w:r w:rsidR="00635FD4">
        <w:rPr>
          <w:rFonts w:hint="cs"/>
          <w:rtl/>
        </w:rPr>
        <w:t>ל</w:t>
      </w:r>
      <w:r w:rsidR="00C376D7" w:rsidRPr="00117B96">
        <w:rPr>
          <w:rFonts w:hint="cs"/>
          <w:rtl/>
        </w:rPr>
        <w:t>ירידה</w:t>
      </w:r>
      <w:r w:rsidRPr="00117B96">
        <w:rPr>
          <w:rFonts w:hint="cs"/>
          <w:rtl/>
        </w:rPr>
        <w:t xml:space="preserve"> </w:t>
      </w:r>
      <w:r w:rsidR="000E355C" w:rsidRPr="00117B96">
        <w:rPr>
          <w:rFonts w:hint="cs"/>
          <w:rtl/>
        </w:rPr>
        <w:t>שנרשמה בשנ</w:t>
      </w:r>
      <w:r w:rsidR="00117B96" w:rsidRPr="00117B96">
        <w:rPr>
          <w:rFonts w:hint="cs"/>
          <w:rtl/>
        </w:rPr>
        <w:t>ים קודמות</w:t>
      </w:r>
      <w:r w:rsidRPr="00117B96">
        <w:rPr>
          <w:rFonts w:hint="cs"/>
          <w:rtl/>
        </w:rPr>
        <w:t>.</w:t>
      </w:r>
    </w:p>
    <w:p w:rsidR="00765F46" w:rsidRPr="006B73C7" w:rsidRDefault="00765F46" w:rsidP="00F5150E">
      <w:pPr>
        <w:pStyle w:val="aa"/>
        <w:rPr>
          <w:rStyle w:val="afa"/>
          <w:rFonts w:cs="Arial"/>
          <w:bCs/>
          <w:rtl/>
        </w:rPr>
      </w:pPr>
      <w:r w:rsidRPr="006B73C7">
        <w:rPr>
          <w:rStyle w:val="afa"/>
          <w:rFonts w:cs="Arial"/>
          <w:bCs/>
          <w:rtl/>
        </w:rPr>
        <w:t xml:space="preserve">תרשים </w:t>
      </w:r>
      <w:r w:rsidR="008F7F11" w:rsidRPr="006B73C7">
        <w:rPr>
          <w:rStyle w:val="afa"/>
          <w:rFonts w:cs="Arial" w:hint="cs"/>
          <w:bCs/>
          <w:rtl/>
        </w:rPr>
        <w:t>2 -</w:t>
      </w:r>
      <w:r w:rsidR="00F86ABA">
        <w:rPr>
          <w:rStyle w:val="afa"/>
          <w:rFonts w:cs="Arial" w:hint="cs"/>
          <w:bCs/>
          <w:rtl/>
        </w:rPr>
        <w:t xml:space="preserve"> </w:t>
      </w:r>
      <w:r w:rsidRPr="006B73C7">
        <w:rPr>
          <w:rStyle w:val="afa"/>
          <w:rFonts w:cs="Arial"/>
          <w:bCs/>
          <w:rtl/>
        </w:rPr>
        <w:t>אספקת אנרגיה ראשונית ויחס אנרגיה</w:t>
      </w:r>
    </w:p>
    <w:p w:rsidR="00C023A7" w:rsidRPr="00E16A6A" w:rsidRDefault="00AF70CE" w:rsidP="008F7F11">
      <w:pPr>
        <w:pStyle w:val="a0"/>
        <w:jc w:val="center"/>
        <w:rPr>
          <w:color w:val="548DD4" w:themeColor="text2" w:themeTint="99"/>
          <w:rtl/>
        </w:rPr>
      </w:pPr>
      <w:r>
        <w:rPr>
          <w:noProof/>
          <w:color w:val="548DD4" w:themeColor="text2" w:themeTint="99"/>
        </w:rPr>
        <w:drawing>
          <wp:inline distT="0" distB="0" distL="0" distR="0" wp14:anchorId="05F37537" wp14:editId="67E46C9C">
            <wp:extent cx="4953000" cy="2967385"/>
            <wp:effectExtent l="0" t="0" r="0" b="4445"/>
            <wp:docPr id="1" name="תמונה 1" descr="תרשים 2 -אספקת אנרגיה ראשונית ויחס אנרגיה" title="תרשים 2 -אספקת אנרגיה ראשונית ויחס אנר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752" cy="2967836"/>
                    </a:xfrm>
                    <a:prstGeom prst="rect">
                      <a:avLst/>
                    </a:prstGeom>
                    <a:noFill/>
                  </pic:spPr>
                </pic:pic>
              </a:graphicData>
            </a:graphic>
          </wp:inline>
        </w:drawing>
      </w:r>
    </w:p>
    <w:p w:rsidR="001637E1" w:rsidRPr="00AF70CE" w:rsidRDefault="006C1597" w:rsidP="00542E21">
      <w:pPr>
        <w:rPr>
          <w:bCs/>
          <w:sz w:val="32"/>
          <w:szCs w:val="32"/>
        </w:rPr>
      </w:pPr>
      <w:r w:rsidRPr="00AF70CE">
        <w:rPr>
          <w:rFonts w:hint="cs"/>
          <w:rtl/>
        </w:rPr>
        <w:t>יחס האנרגיה חושב על בסיס התוצר במחירי 201</w:t>
      </w:r>
      <w:r w:rsidR="000E355C" w:rsidRPr="00AF70CE">
        <w:rPr>
          <w:rFonts w:hint="cs"/>
          <w:rtl/>
        </w:rPr>
        <w:t>5</w:t>
      </w:r>
      <w:r w:rsidRPr="00AF70CE">
        <w:rPr>
          <w:rFonts w:hint="cs"/>
          <w:rtl/>
        </w:rPr>
        <w:t xml:space="preserve">. </w:t>
      </w:r>
      <w:r w:rsidR="00EB1254" w:rsidRPr="00AF70CE">
        <w:rPr>
          <w:rFonts w:hint="cs"/>
          <w:rtl/>
        </w:rPr>
        <w:t>ב</w:t>
      </w:r>
      <w:r w:rsidRPr="00AF70CE">
        <w:rPr>
          <w:rFonts w:hint="cs"/>
          <w:rtl/>
        </w:rPr>
        <w:t xml:space="preserve">שנת 2013 שונתה שיטת חישוב אספקת האנרגיה ולא ניתן להשוות את </w:t>
      </w:r>
      <w:r w:rsidR="006E1E33" w:rsidRPr="00AF70CE">
        <w:rPr>
          <w:rFonts w:hint="cs"/>
          <w:rtl/>
        </w:rPr>
        <w:t>הנתונים</w:t>
      </w:r>
      <w:r w:rsidRPr="00AF70CE">
        <w:rPr>
          <w:rFonts w:hint="cs"/>
          <w:rtl/>
        </w:rPr>
        <w:t xml:space="preserve"> </w:t>
      </w:r>
      <w:r w:rsidR="00EB1254" w:rsidRPr="00AF70CE">
        <w:rPr>
          <w:rFonts w:hint="cs"/>
          <w:rtl/>
        </w:rPr>
        <w:t xml:space="preserve">החל בשנה זאת </w:t>
      </w:r>
      <w:r w:rsidRPr="00AF70CE">
        <w:rPr>
          <w:rFonts w:hint="cs"/>
          <w:rtl/>
        </w:rPr>
        <w:t>לשנים קודמות.</w:t>
      </w:r>
      <w:r w:rsidR="001637E1" w:rsidRPr="00AF70CE">
        <w:rPr>
          <w:sz w:val="32"/>
          <w:szCs w:val="32"/>
          <w:rtl/>
        </w:rPr>
        <w:br w:type="page"/>
      </w:r>
    </w:p>
    <w:p w:rsidR="006C1597" w:rsidRPr="00117B96" w:rsidRDefault="006C1597" w:rsidP="00703DE4">
      <w:pPr>
        <w:pStyle w:val="2"/>
        <w:rPr>
          <w:rtl/>
        </w:rPr>
      </w:pPr>
      <w:r w:rsidRPr="00117B96">
        <w:rPr>
          <w:rtl/>
        </w:rPr>
        <w:lastRenderedPageBreak/>
        <w:t>צריכה סופית של אנרגיה</w:t>
      </w:r>
    </w:p>
    <w:p w:rsidR="002E132B" w:rsidRPr="00117B96" w:rsidRDefault="005A1DAC" w:rsidP="00EB5BF5">
      <w:pPr>
        <w:rPr>
          <w:rtl/>
        </w:rPr>
      </w:pPr>
      <w:r w:rsidRPr="00117B96">
        <w:rPr>
          <w:rFonts w:hint="cs"/>
          <w:rtl/>
        </w:rPr>
        <w:t>ה</w:t>
      </w:r>
      <w:r w:rsidRPr="00117B96">
        <w:rPr>
          <w:rtl/>
        </w:rPr>
        <w:t>צריכ</w:t>
      </w:r>
      <w:r w:rsidRPr="00117B96">
        <w:rPr>
          <w:rFonts w:hint="cs"/>
          <w:rtl/>
        </w:rPr>
        <w:t>ה</w:t>
      </w:r>
      <w:r w:rsidR="00EB5FBB" w:rsidRPr="00117B96">
        <w:rPr>
          <w:rtl/>
        </w:rPr>
        <w:t xml:space="preserve"> </w:t>
      </w:r>
      <w:r w:rsidRPr="00117B96">
        <w:rPr>
          <w:rFonts w:hint="cs"/>
          <w:rtl/>
        </w:rPr>
        <w:t>ה</w:t>
      </w:r>
      <w:r w:rsidR="006B40DF" w:rsidRPr="00117B96">
        <w:rPr>
          <w:rtl/>
        </w:rPr>
        <w:t xml:space="preserve">סופית </w:t>
      </w:r>
      <w:r w:rsidR="00EB5FBB" w:rsidRPr="00117B96">
        <w:rPr>
          <w:rtl/>
        </w:rPr>
        <w:t xml:space="preserve">בשנת </w:t>
      </w:r>
      <w:r w:rsidR="00542B96" w:rsidRPr="00117B96">
        <w:rPr>
          <w:rtl/>
        </w:rPr>
        <w:t>201</w:t>
      </w:r>
      <w:r w:rsidR="00117B96" w:rsidRPr="00117B96">
        <w:rPr>
          <w:rFonts w:hint="cs"/>
          <w:rtl/>
        </w:rPr>
        <w:t>8</w:t>
      </w:r>
      <w:r w:rsidR="00542B96" w:rsidRPr="00117B96">
        <w:rPr>
          <w:rtl/>
        </w:rPr>
        <w:t xml:space="preserve"> </w:t>
      </w:r>
      <w:r w:rsidR="00EB5FBB" w:rsidRPr="00117B96">
        <w:rPr>
          <w:rtl/>
        </w:rPr>
        <w:t>הסתכמה ב-</w:t>
      </w:r>
      <w:r w:rsidR="00533712" w:rsidRPr="00117B96">
        <w:rPr>
          <w:rFonts w:hint="cs"/>
          <w:rtl/>
        </w:rPr>
        <w:t>1</w:t>
      </w:r>
      <w:r w:rsidR="005C59F2" w:rsidRPr="00117B96">
        <w:rPr>
          <w:rFonts w:hint="cs"/>
          <w:rtl/>
        </w:rPr>
        <w:t>5</w:t>
      </w:r>
      <w:r w:rsidR="00533712" w:rsidRPr="00117B96">
        <w:rPr>
          <w:rFonts w:hint="cs"/>
          <w:rtl/>
        </w:rPr>
        <w:t>,</w:t>
      </w:r>
      <w:r w:rsidR="00117B96" w:rsidRPr="00117B96">
        <w:rPr>
          <w:rFonts w:hint="cs"/>
          <w:rtl/>
        </w:rPr>
        <w:t>7</w:t>
      </w:r>
      <w:r w:rsidR="00EB5BF5">
        <w:rPr>
          <w:rFonts w:hint="cs"/>
          <w:rtl/>
        </w:rPr>
        <w:t>31</w:t>
      </w:r>
      <w:r w:rsidR="008A255B" w:rsidRPr="00117B96">
        <w:rPr>
          <w:rFonts w:hint="cs"/>
          <w:rtl/>
        </w:rPr>
        <w:t xml:space="preserve"> </w:t>
      </w:r>
      <w:r w:rsidR="001316A9" w:rsidRPr="00117B96">
        <w:rPr>
          <w:rtl/>
        </w:rPr>
        <w:t xml:space="preserve">אלפי </w:t>
      </w:r>
      <w:proofErr w:type="spellStart"/>
      <w:r w:rsidR="001316A9" w:rsidRPr="00117B96">
        <w:rPr>
          <w:rtl/>
        </w:rPr>
        <w:t>שעט"ן</w:t>
      </w:r>
      <w:proofErr w:type="spellEnd"/>
      <w:r w:rsidR="001316A9" w:rsidRPr="00117B96">
        <w:rPr>
          <w:rtl/>
        </w:rPr>
        <w:t xml:space="preserve"> (שווה ערך לטון נפט)</w:t>
      </w:r>
      <w:r w:rsidR="001316A9" w:rsidRPr="00117B96">
        <w:rPr>
          <w:rFonts w:hint="cs"/>
          <w:rtl/>
        </w:rPr>
        <w:t xml:space="preserve"> </w:t>
      </w:r>
      <w:r w:rsidR="00C80779" w:rsidRPr="00117B96">
        <w:rPr>
          <w:rtl/>
        </w:rPr>
        <w:t>ו</w:t>
      </w:r>
      <w:r w:rsidR="00966CB8" w:rsidRPr="00117B96">
        <w:rPr>
          <w:rFonts w:hint="cs"/>
          <w:rtl/>
        </w:rPr>
        <w:t>עלתה</w:t>
      </w:r>
      <w:r w:rsidR="00C80779" w:rsidRPr="00117B96">
        <w:rPr>
          <w:rtl/>
        </w:rPr>
        <w:t xml:space="preserve"> </w:t>
      </w:r>
      <w:r w:rsidR="00966CB8" w:rsidRPr="00117B96">
        <w:rPr>
          <w:rFonts w:hint="cs"/>
          <w:rtl/>
        </w:rPr>
        <w:t>ב</w:t>
      </w:r>
      <w:r w:rsidR="00B23ACC" w:rsidRPr="00117B96">
        <w:rPr>
          <w:rFonts w:hint="cs"/>
          <w:rtl/>
        </w:rPr>
        <w:t>-</w:t>
      </w:r>
      <w:r w:rsidR="00117B96" w:rsidRPr="00117B96">
        <w:rPr>
          <w:rFonts w:hint="cs"/>
          <w:rtl/>
        </w:rPr>
        <w:t>0.5</w:t>
      </w:r>
      <w:r w:rsidR="00B23ACC" w:rsidRPr="00117B96">
        <w:rPr>
          <w:rFonts w:hint="cs"/>
          <w:rtl/>
        </w:rPr>
        <w:t>%</w:t>
      </w:r>
      <w:r w:rsidR="00C80779" w:rsidRPr="00117B96">
        <w:rPr>
          <w:rtl/>
        </w:rPr>
        <w:t xml:space="preserve"> לעומת </w:t>
      </w:r>
      <w:r w:rsidR="00542B96" w:rsidRPr="00117B96">
        <w:rPr>
          <w:rtl/>
        </w:rPr>
        <w:t>201</w:t>
      </w:r>
      <w:r w:rsidR="00117B96" w:rsidRPr="00117B96">
        <w:rPr>
          <w:rFonts w:hint="cs"/>
          <w:rtl/>
        </w:rPr>
        <w:t>7</w:t>
      </w:r>
      <w:r w:rsidR="001D347E" w:rsidRPr="00117B96">
        <w:rPr>
          <w:rtl/>
        </w:rPr>
        <w:t xml:space="preserve"> </w:t>
      </w:r>
      <w:r w:rsidR="00512A0D" w:rsidRPr="00117B96">
        <w:rPr>
          <w:rtl/>
        </w:rPr>
        <w:t>(</w:t>
      </w:r>
      <w:r w:rsidR="00F7144D" w:rsidRPr="00117B96">
        <w:rPr>
          <w:rFonts w:hint="cs"/>
          <w:rtl/>
        </w:rPr>
        <w:t>1</w:t>
      </w:r>
      <w:r w:rsidR="0088676B" w:rsidRPr="00117B96">
        <w:rPr>
          <w:rFonts w:hint="cs"/>
          <w:rtl/>
        </w:rPr>
        <w:t>5</w:t>
      </w:r>
      <w:r w:rsidR="00F7144D" w:rsidRPr="00117B96">
        <w:rPr>
          <w:rFonts w:hint="cs"/>
          <w:rtl/>
        </w:rPr>
        <w:t>,</w:t>
      </w:r>
      <w:r w:rsidR="00117B96" w:rsidRPr="00117B96">
        <w:rPr>
          <w:rFonts w:hint="cs"/>
          <w:rtl/>
        </w:rPr>
        <w:t>647</w:t>
      </w:r>
      <w:r w:rsidR="00542B96" w:rsidRPr="00117B96">
        <w:rPr>
          <w:rtl/>
        </w:rPr>
        <w:t xml:space="preserve"> </w:t>
      </w:r>
      <w:r w:rsidR="00512A0D" w:rsidRPr="00117B96">
        <w:rPr>
          <w:rtl/>
        </w:rPr>
        <w:t xml:space="preserve">אלפי </w:t>
      </w:r>
      <w:proofErr w:type="spellStart"/>
      <w:r w:rsidR="00C80779" w:rsidRPr="00117B96">
        <w:rPr>
          <w:rtl/>
        </w:rPr>
        <w:t>שעט"ן</w:t>
      </w:r>
      <w:proofErr w:type="spellEnd"/>
      <w:r w:rsidR="00512A0D" w:rsidRPr="00117B96">
        <w:rPr>
          <w:rtl/>
        </w:rPr>
        <w:t>)</w:t>
      </w:r>
      <w:r w:rsidR="00955F9F" w:rsidRPr="00117B96">
        <w:rPr>
          <w:rtl/>
        </w:rPr>
        <w:t>.</w:t>
      </w:r>
      <w:r w:rsidR="001D347E" w:rsidRPr="00117B96">
        <w:rPr>
          <w:rtl/>
        </w:rPr>
        <w:t xml:space="preserve"> </w:t>
      </w:r>
    </w:p>
    <w:p w:rsidR="004A779A" w:rsidRDefault="002E132B" w:rsidP="004A779A">
      <w:pPr>
        <w:spacing w:after="240"/>
        <w:rPr>
          <w:rtl/>
        </w:rPr>
      </w:pPr>
      <w:r w:rsidRPr="00117B96">
        <w:rPr>
          <w:rtl/>
        </w:rPr>
        <w:t xml:space="preserve">צריכת </w:t>
      </w:r>
      <w:r w:rsidR="00A67854" w:rsidRPr="00117B96">
        <w:rPr>
          <w:rtl/>
        </w:rPr>
        <w:t>ה</w:t>
      </w:r>
      <w:r w:rsidRPr="00117B96">
        <w:rPr>
          <w:rtl/>
        </w:rPr>
        <w:t xml:space="preserve">חשמל </w:t>
      </w:r>
      <w:r w:rsidR="00A67854" w:rsidRPr="00117B96">
        <w:rPr>
          <w:rtl/>
        </w:rPr>
        <w:t>ה</w:t>
      </w:r>
      <w:r w:rsidRPr="00117B96">
        <w:rPr>
          <w:rtl/>
        </w:rPr>
        <w:t xml:space="preserve">סופית </w:t>
      </w:r>
      <w:r w:rsidR="000254FF" w:rsidRPr="00117B96">
        <w:rPr>
          <w:rFonts w:hint="cs"/>
          <w:rtl/>
        </w:rPr>
        <w:t>עלתה</w:t>
      </w:r>
      <w:r w:rsidRPr="00117B96">
        <w:rPr>
          <w:rtl/>
        </w:rPr>
        <w:t xml:space="preserve"> בשנת </w:t>
      </w:r>
      <w:r w:rsidR="00114714" w:rsidRPr="00117B96">
        <w:rPr>
          <w:rtl/>
        </w:rPr>
        <w:t>201</w:t>
      </w:r>
      <w:r w:rsidR="00117B96" w:rsidRPr="00117B96">
        <w:rPr>
          <w:rFonts w:hint="cs"/>
          <w:rtl/>
        </w:rPr>
        <w:t>8</w:t>
      </w:r>
      <w:r w:rsidR="00114714" w:rsidRPr="00117B96">
        <w:rPr>
          <w:rtl/>
        </w:rPr>
        <w:t xml:space="preserve"> </w:t>
      </w:r>
      <w:r w:rsidRPr="00117B96">
        <w:rPr>
          <w:rtl/>
        </w:rPr>
        <w:t>ב-</w:t>
      </w:r>
      <w:r w:rsidR="00117B96" w:rsidRPr="00117B96">
        <w:rPr>
          <w:rFonts w:hint="cs"/>
          <w:rtl/>
        </w:rPr>
        <w:t>2</w:t>
      </w:r>
      <w:r w:rsidR="0088676B" w:rsidRPr="00117B96">
        <w:rPr>
          <w:rFonts w:hint="cs"/>
          <w:rtl/>
        </w:rPr>
        <w:t>.1</w:t>
      </w:r>
      <w:r w:rsidR="00114714" w:rsidRPr="00117B96">
        <w:rPr>
          <w:rtl/>
        </w:rPr>
        <w:t xml:space="preserve">% </w:t>
      </w:r>
      <w:r w:rsidRPr="00117B96">
        <w:rPr>
          <w:rtl/>
        </w:rPr>
        <w:t xml:space="preserve">לעומת </w:t>
      </w:r>
      <w:r w:rsidR="00080ABE" w:rsidRPr="00117B96">
        <w:rPr>
          <w:rtl/>
        </w:rPr>
        <w:t>201</w:t>
      </w:r>
      <w:r w:rsidR="00117B96" w:rsidRPr="00117B96">
        <w:rPr>
          <w:rFonts w:hint="cs"/>
          <w:rtl/>
        </w:rPr>
        <w:t>7</w:t>
      </w:r>
      <w:r w:rsidR="00080ABE" w:rsidRPr="00117B96">
        <w:rPr>
          <w:rtl/>
        </w:rPr>
        <w:t xml:space="preserve"> </w:t>
      </w:r>
      <w:r w:rsidRPr="00117B96">
        <w:rPr>
          <w:rtl/>
        </w:rPr>
        <w:t>והסתכמה ב-</w:t>
      </w:r>
      <w:r w:rsidR="00117B96" w:rsidRPr="00117B96">
        <w:rPr>
          <w:rFonts w:hint="cs"/>
          <w:rtl/>
        </w:rPr>
        <w:t>5</w:t>
      </w:r>
      <w:r w:rsidR="007668F2" w:rsidRPr="00117B96">
        <w:rPr>
          <w:rtl/>
        </w:rPr>
        <w:t>,</w:t>
      </w:r>
      <w:r w:rsidR="00117B96" w:rsidRPr="00117B96">
        <w:rPr>
          <w:rFonts w:hint="cs"/>
          <w:rtl/>
        </w:rPr>
        <w:t>0</w:t>
      </w:r>
      <w:r w:rsidR="0088676B" w:rsidRPr="00117B96">
        <w:rPr>
          <w:rFonts w:hint="cs"/>
          <w:rtl/>
        </w:rPr>
        <w:t>1</w:t>
      </w:r>
      <w:r w:rsidR="00117B96" w:rsidRPr="00117B96">
        <w:rPr>
          <w:rFonts w:hint="cs"/>
          <w:rtl/>
        </w:rPr>
        <w:t>3</w:t>
      </w:r>
      <w:r w:rsidR="004641EB" w:rsidRPr="00117B96">
        <w:rPr>
          <w:rtl/>
        </w:rPr>
        <w:t xml:space="preserve"> </w:t>
      </w:r>
      <w:r w:rsidR="007F426D" w:rsidRPr="00117B96">
        <w:rPr>
          <w:rtl/>
        </w:rPr>
        <w:t>אלפי</w:t>
      </w:r>
      <w:r w:rsidR="00A13D87" w:rsidRPr="00117B96">
        <w:rPr>
          <w:rtl/>
        </w:rPr>
        <w:t xml:space="preserve"> </w:t>
      </w:r>
      <w:proofErr w:type="spellStart"/>
      <w:r w:rsidRPr="00117B96">
        <w:rPr>
          <w:rtl/>
        </w:rPr>
        <w:t>שעט"ן</w:t>
      </w:r>
      <w:proofErr w:type="spellEnd"/>
      <w:r w:rsidRPr="00117B96">
        <w:rPr>
          <w:rtl/>
        </w:rPr>
        <w:t xml:space="preserve">. </w:t>
      </w:r>
      <w:r w:rsidR="00EE73A5" w:rsidRPr="00117B96">
        <w:rPr>
          <w:rtl/>
        </w:rPr>
        <w:t>צריכת</w:t>
      </w:r>
      <w:r w:rsidR="00EE73A5" w:rsidRPr="00117B96">
        <w:rPr>
          <w:rFonts w:hint="cs"/>
          <w:rtl/>
        </w:rPr>
        <w:t xml:space="preserve">ם הסופית </w:t>
      </w:r>
      <w:r w:rsidR="006C1597" w:rsidRPr="00117B96">
        <w:rPr>
          <w:rtl/>
        </w:rPr>
        <w:t>של מוצרי הנפט</w:t>
      </w:r>
      <w:r w:rsidR="006C1597" w:rsidRPr="00117B96">
        <w:rPr>
          <w:rFonts w:hint="cs"/>
          <w:rtl/>
        </w:rPr>
        <w:t xml:space="preserve"> </w:t>
      </w:r>
      <w:r w:rsidR="00712CB8" w:rsidRPr="00117B96">
        <w:rPr>
          <w:rFonts w:hint="cs"/>
          <w:rtl/>
        </w:rPr>
        <w:t>עלתה</w:t>
      </w:r>
      <w:r w:rsidR="00EE73A5" w:rsidRPr="00117B96">
        <w:rPr>
          <w:rtl/>
        </w:rPr>
        <w:t xml:space="preserve"> בשנת 201</w:t>
      </w:r>
      <w:r w:rsidR="00117B96" w:rsidRPr="00117B96">
        <w:rPr>
          <w:rFonts w:hint="cs"/>
          <w:rtl/>
        </w:rPr>
        <w:t>8</w:t>
      </w:r>
      <w:r w:rsidR="00EE73A5" w:rsidRPr="00117B96">
        <w:rPr>
          <w:rtl/>
        </w:rPr>
        <w:t xml:space="preserve"> ב-</w:t>
      </w:r>
      <w:r w:rsidR="00117B96" w:rsidRPr="00117B96">
        <w:rPr>
          <w:rFonts w:hint="cs"/>
          <w:rtl/>
        </w:rPr>
        <w:t>0.5</w:t>
      </w:r>
      <w:r w:rsidR="00EE73A5" w:rsidRPr="00117B96">
        <w:rPr>
          <w:rtl/>
        </w:rPr>
        <w:t>% לעומת 201</w:t>
      </w:r>
      <w:r w:rsidR="00117B96" w:rsidRPr="00117B96">
        <w:rPr>
          <w:rFonts w:hint="cs"/>
          <w:rtl/>
        </w:rPr>
        <w:t>7</w:t>
      </w:r>
      <w:r w:rsidR="00EE73A5" w:rsidRPr="00117B96">
        <w:rPr>
          <w:rtl/>
        </w:rPr>
        <w:t xml:space="preserve"> והסתכמה ב-</w:t>
      </w:r>
      <w:r w:rsidR="008069E9" w:rsidRPr="00117B96">
        <w:rPr>
          <w:rtl/>
        </w:rPr>
        <w:t>8,</w:t>
      </w:r>
      <w:r w:rsidR="0088676B" w:rsidRPr="00117B96">
        <w:rPr>
          <w:rFonts w:hint="cs"/>
          <w:rtl/>
        </w:rPr>
        <w:t>9</w:t>
      </w:r>
      <w:r w:rsidR="00117B96" w:rsidRPr="00117B96">
        <w:rPr>
          <w:rFonts w:hint="cs"/>
          <w:rtl/>
        </w:rPr>
        <w:t>5</w:t>
      </w:r>
      <w:r w:rsidR="00635FD4">
        <w:rPr>
          <w:rFonts w:hint="cs"/>
          <w:rtl/>
        </w:rPr>
        <w:t>6</w:t>
      </w:r>
      <w:r w:rsidR="008069E9" w:rsidRPr="00117B96">
        <w:rPr>
          <w:rtl/>
        </w:rPr>
        <w:t xml:space="preserve"> </w:t>
      </w:r>
      <w:r w:rsidR="00EE73A5" w:rsidRPr="00117B96">
        <w:rPr>
          <w:rtl/>
        </w:rPr>
        <w:t xml:space="preserve">אלפי </w:t>
      </w:r>
      <w:proofErr w:type="spellStart"/>
      <w:r w:rsidR="00EE73A5" w:rsidRPr="00117B96">
        <w:rPr>
          <w:rtl/>
        </w:rPr>
        <w:t>שעט"ן</w:t>
      </w:r>
      <w:proofErr w:type="spellEnd"/>
      <w:r w:rsidR="00EE73A5" w:rsidRPr="00117B96">
        <w:rPr>
          <w:rtl/>
        </w:rPr>
        <w:t>.</w:t>
      </w:r>
    </w:p>
    <w:p w:rsidR="00FC0D39" w:rsidRPr="006C7FDB" w:rsidRDefault="00FC0D39" w:rsidP="00FC0D39">
      <w:pPr>
        <w:spacing w:after="240"/>
        <w:rPr>
          <w:rtl/>
        </w:rPr>
      </w:pPr>
      <w:r w:rsidRPr="006C7FDB">
        <w:rPr>
          <w:rFonts w:hint="cs"/>
          <w:rtl/>
        </w:rPr>
        <w:t>57% מהצריכה הסופית היא צריכה של מוצרי נפט שרובה היא צריכה של סולר ובנזין (67%</w:t>
      </w:r>
      <w:r w:rsidR="002B460F" w:rsidRPr="006C7FDB">
        <w:rPr>
          <w:rFonts w:hint="cs"/>
          <w:rtl/>
        </w:rPr>
        <w:t xml:space="preserve"> מכלל מוצרי הנפט</w:t>
      </w:r>
      <w:r w:rsidRPr="006C7FDB">
        <w:rPr>
          <w:rFonts w:hint="cs"/>
          <w:rtl/>
        </w:rPr>
        <w:t>) המשמש בעיקר לתחבורה</w:t>
      </w:r>
    </w:p>
    <w:p w:rsidR="00932529" w:rsidRPr="00117B96" w:rsidRDefault="00932529" w:rsidP="00117B96">
      <w:pPr>
        <w:pStyle w:val="aa"/>
        <w:rPr>
          <w:rStyle w:val="afa"/>
          <w:rFonts w:cs="Arial"/>
          <w:bCs/>
          <w:rtl/>
        </w:rPr>
      </w:pPr>
      <w:r w:rsidRPr="00117B96">
        <w:rPr>
          <w:rStyle w:val="afa"/>
          <w:rFonts w:cs="Arial"/>
          <w:bCs/>
          <w:rtl/>
        </w:rPr>
        <w:t xml:space="preserve">תרשים 3 - צריכת </w:t>
      </w:r>
      <w:r w:rsidR="00477C25" w:rsidRPr="00117B96">
        <w:rPr>
          <w:rStyle w:val="afa"/>
          <w:rFonts w:cs="Arial" w:hint="cs"/>
          <w:bCs/>
          <w:rtl/>
        </w:rPr>
        <w:t xml:space="preserve">סופית של </w:t>
      </w:r>
      <w:r w:rsidRPr="00117B96">
        <w:rPr>
          <w:rStyle w:val="afa"/>
          <w:rFonts w:cs="Arial"/>
          <w:bCs/>
          <w:rtl/>
        </w:rPr>
        <w:t>אנרגיה לפי סוג, 201</w:t>
      </w:r>
      <w:r w:rsidR="00117B96">
        <w:rPr>
          <w:rStyle w:val="afa"/>
          <w:rFonts w:cs="Arial" w:hint="cs"/>
          <w:bCs/>
          <w:rtl/>
        </w:rPr>
        <w:t>8</w:t>
      </w:r>
      <w:r w:rsidRPr="00117B96">
        <w:rPr>
          <w:rStyle w:val="afa"/>
          <w:rFonts w:cs="Arial"/>
          <w:bCs/>
          <w:rtl/>
        </w:rPr>
        <w:t xml:space="preserve"> *</w:t>
      </w:r>
    </w:p>
    <w:p w:rsidR="00586977" w:rsidRPr="00E16A6A" w:rsidRDefault="00EB5BF5" w:rsidP="00174E8F">
      <w:pPr>
        <w:pStyle w:val="a0"/>
        <w:jc w:val="center"/>
        <w:rPr>
          <w:color w:val="548DD4" w:themeColor="text2" w:themeTint="99"/>
          <w:rtl/>
        </w:rPr>
      </w:pPr>
      <w:r>
        <w:rPr>
          <w:noProof/>
          <w:color w:val="548DD4" w:themeColor="text2" w:themeTint="99"/>
        </w:rPr>
        <w:drawing>
          <wp:inline distT="0" distB="0" distL="0" distR="0" wp14:anchorId="41279CA3" wp14:editId="27B0E57E">
            <wp:extent cx="4202009" cy="2578571"/>
            <wp:effectExtent l="0" t="0" r="8255" b="0"/>
            <wp:docPr id="7" name="תמונה 7" descr="תרשים 3 - צריכת סופית של אנרגיה לפי סוג, 2018 *" title="תרשים 3 - צריכת סופית של אנרגיה לפי סוג,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688" cy="2578374"/>
                    </a:xfrm>
                    <a:prstGeom prst="rect">
                      <a:avLst/>
                    </a:prstGeom>
                    <a:noFill/>
                  </pic:spPr>
                </pic:pic>
              </a:graphicData>
            </a:graphic>
          </wp:inline>
        </w:drawing>
      </w:r>
    </w:p>
    <w:p w:rsidR="00586977" w:rsidRPr="00117B96" w:rsidRDefault="00586977" w:rsidP="00174E8F">
      <w:pPr>
        <w:spacing w:after="240"/>
        <w:jc w:val="center"/>
        <w:rPr>
          <w:rtl/>
        </w:rPr>
      </w:pPr>
      <w:r w:rsidRPr="00117B96">
        <w:rPr>
          <w:rFonts w:hint="cs"/>
          <w:rtl/>
        </w:rPr>
        <w:t xml:space="preserve">* </w:t>
      </w:r>
      <w:r w:rsidR="00A74DB1" w:rsidRPr="00117B96">
        <w:rPr>
          <w:rFonts w:hint="cs"/>
          <w:rtl/>
        </w:rPr>
        <w:t>ללא</w:t>
      </w:r>
      <w:r w:rsidRPr="00117B96">
        <w:rPr>
          <w:rFonts w:hint="cs"/>
          <w:rtl/>
        </w:rPr>
        <w:t xml:space="preserve"> צריכ</w:t>
      </w:r>
      <w:r w:rsidR="00BC013E" w:rsidRPr="00117B96">
        <w:rPr>
          <w:rFonts w:hint="cs"/>
          <w:rtl/>
        </w:rPr>
        <w:t>ת</w:t>
      </w:r>
      <w:r w:rsidRPr="00117B96">
        <w:rPr>
          <w:rFonts w:hint="cs"/>
          <w:rtl/>
        </w:rPr>
        <w:t xml:space="preserve"> אנרגיה לייצור חשמל וזיקוק דלקים</w:t>
      </w:r>
    </w:p>
    <w:p w:rsidR="00EB5FBB" w:rsidRPr="00CF35E0" w:rsidRDefault="00EB5FBB" w:rsidP="000B3F62">
      <w:pPr>
        <w:pStyle w:val="aa"/>
        <w:spacing w:before="480"/>
        <w:rPr>
          <w:rStyle w:val="afa"/>
          <w:rFonts w:cs="Arial"/>
          <w:bCs/>
          <w:rtl/>
        </w:rPr>
      </w:pPr>
      <w:r w:rsidRPr="00CF35E0">
        <w:rPr>
          <w:rStyle w:val="afa"/>
          <w:rFonts w:cs="Arial"/>
          <w:bCs/>
          <w:rtl/>
        </w:rPr>
        <w:t>לוח</w:t>
      </w:r>
      <w:r w:rsidR="001D347E" w:rsidRPr="00CF35E0">
        <w:rPr>
          <w:rStyle w:val="afa"/>
          <w:rFonts w:cs="Arial"/>
          <w:bCs/>
          <w:rtl/>
        </w:rPr>
        <w:t xml:space="preserve"> </w:t>
      </w:r>
      <w:r w:rsidR="00965E98" w:rsidRPr="00CF35E0">
        <w:rPr>
          <w:rStyle w:val="afa"/>
          <w:rFonts w:cs="Arial" w:hint="cs"/>
          <w:bCs/>
          <w:rtl/>
        </w:rPr>
        <w:t>א</w:t>
      </w:r>
      <w:r w:rsidR="00195CC6" w:rsidRPr="00CF35E0">
        <w:rPr>
          <w:rStyle w:val="afa"/>
          <w:rFonts w:cs="Arial" w:hint="cs"/>
          <w:bCs/>
          <w:rtl/>
        </w:rPr>
        <w:t xml:space="preserve"> -</w:t>
      </w:r>
      <w:r w:rsidRPr="00CF35E0">
        <w:rPr>
          <w:rStyle w:val="afa"/>
          <w:rFonts w:cs="Arial"/>
          <w:bCs/>
          <w:rtl/>
        </w:rPr>
        <w:t xml:space="preserve"> צריכה סופית של </w:t>
      </w:r>
      <w:r w:rsidR="003E768C" w:rsidRPr="00CF35E0">
        <w:rPr>
          <w:rStyle w:val="afa"/>
          <w:rFonts w:cs="Arial" w:hint="cs"/>
          <w:bCs/>
          <w:rtl/>
        </w:rPr>
        <w:t>אנרגיה</w:t>
      </w:r>
      <w:r w:rsidR="00EB466B" w:rsidRPr="00CF35E0">
        <w:rPr>
          <w:rStyle w:val="afa"/>
          <w:rFonts w:cs="Arial" w:hint="cs"/>
          <w:bCs/>
          <w:rtl/>
        </w:rPr>
        <w:t xml:space="preserve"> </w:t>
      </w:r>
      <w:r w:rsidR="00EB466B" w:rsidRPr="00CF35E0">
        <w:rPr>
          <w:rStyle w:val="afa"/>
          <w:rFonts w:cs="Arial"/>
          <w:bCs/>
          <w:rtl/>
        </w:rPr>
        <w:t xml:space="preserve">(אלפי </w:t>
      </w:r>
      <w:proofErr w:type="spellStart"/>
      <w:r w:rsidR="00EB466B" w:rsidRPr="00CF35E0">
        <w:rPr>
          <w:rStyle w:val="afa"/>
          <w:rFonts w:cs="Arial"/>
          <w:bCs/>
          <w:rtl/>
        </w:rPr>
        <w:t>שעט"ן</w:t>
      </w:r>
      <w:proofErr w:type="spellEnd"/>
      <w:r w:rsidR="00EB466B" w:rsidRPr="00CF35E0">
        <w:rPr>
          <w:rStyle w:val="afa"/>
          <w:rFonts w:cs="Arial"/>
          <w:bCs/>
          <w:rtl/>
        </w:rPr>
        <w:t>)</w:t>
      </w:r>
    </w:p>
    <w:tbl>
      <w:tblPr>
        <w:bidiVisual/>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לוח א - צריכה סופית של אנרגיה"/>
        <w:tblDescription w:val="לוח א - צריכה סופית של אנרגיה"/>
      </w:tblPr>
      <w:tblGrid>
        <w:gridCol w:w="2307"/>
        <w:gridCol w:w="1314"/>
        <w:gridCol w:w="1314"/>
        <w:gridCol w:w="1314"/>
        <w:gridCol w:w="1466"/>
        <w:gridCol w:w="1314"/>
        <w:gridCol w:w="1420"/>
      </w:tblGrid>
      <w:tr w:rsidR="00CF35E0" w:rsidRPr="00CF35E0" w:rsidTr="002E64EF">
        <w:trPr>
          <w:trHeight w:val="1557"/>
          <w:tblHeader/>
          <w:jc w:val="center"/>
        </w:trPr>
        <w:tc>
          <w:tcPr>
            <w:tcW w:w="2307" w:type="dxa"/>
            <w:tcBorders>
              <w:top w:val="double" w:sz="4" w:space="0" w:color="auto"/>
            </w:tcBorders>
            <w:shd w:val="clear" w:color="auto" w:fill="auto"/>
            <w:noWrap/>
            <w:vAlign w:val="center"/>
            <w:hideMark/>
          </w:tcPr>
          <w:p w:rsidR="00AF0A1E" w:rsidRPr="00CF35E0" w:rsidRDefault="00AF0A1E" w:rsidP="00F86ABA">
            <w:pPr>
              <w:jc w:val="center"/>
              <w:rPr>
                <w:b/>
                <w:bCs/>
              </w:rPr>
            </w:pPr>
            <w:r w:rsidRPr="00CF35E0">
              <w:rPr>
                <w:rFonts w:hint="cs"/>
                <w:b/>
                <w:bCs/>
                <w:rtl/>
              </w:rPr>
              <w:t>אנרגיה</w:t>
            </w:r>
          </w:p>
        </w:tc>
        <w:tc>
          <w:tcPr>
            <w:tcW w:w="1314" w:type="dxa"/>
            <w:tcBorders>
              <w:top w:val="double" w:sz="4" w:space="0" w:color="auto"/>
            </w:tcBorders>
            <w:shd w:val="clear" w:color="auto" w:fill="auto"/>
            <w:vAlign w:val="center"/>
            <w:hideMark/>
          </w:tcPr>
          <w:p w:rsidR="00AF0A1E" w:rsidRPr="00CF35E0" w:rsidRDefault="00AF0A1E" w:rsidP="00F86ABA">
            <w:pPr>
              <w:jc w:val="center"/>
              <w:rPr>
                <w:b/>
                <w:bCs/>
              </w:rPr>
            </w:pPr>
            <w:r w:rsidRPr="00CF35E0">
              <w:rPr>
                <w:b/>
                <w:bCs/>
                <w:rtl/>
              </w:rPr>
              <w:t>2014</w:t>
            </w:r>
          </w:p>
        </w:tc>
        <w:tc>
          <w:tcPr>
            <w:tcW w:w="1314" w:type="dxa"/>
            <w:tcBorders>
              <w:top w:val="double" w:sz="4" w:space="0" w:color="auto"/>
            </w:tcBorders>
            <w:shd w:val="clear" w:color="auto" w:fill="auto"/>
            <w:vAlign w:val="center"/>
            <w:hideMark/>
          </w:tcPr>
          <w:p w:rsidR="00AF0A1E" w:rsidRPr="00CF35E0" w:rsidRDefault="00AF0A1E" w:rsidP="00F86ABA">
            <w:pPr>
              <w:jc w:val="center"/>
              <w:rPr>
                <w:b/>
                <w:bCs/>
              </w:rPr>
            </w:pPr>
            <w:r w:rsidRPr="00CF35E0">
              <w:rPr>
                <w:b/>
                <w:bCs/>
                <w:rtl/>
              </w:rPr>
              <w:t>2015</w:t>
            </w:r>
          </w:p>
        </w:tc>
        <w:tc>
          <w:tcPr>
            <w:tcW w:w="1314" w:type="dxa"/>
            <w:tcBorders>
              <w:top w:val="double" w:sz="4" w:space="0" w:color="auto"/>
            </w:tcBorders>
            <w:shd w:val="clear" w:color="auto" w:fill="auto"/>
            <w:vAlign w:val="center"/>
            <w:hideMark/>
          </w:tcPr>
          <w:p w:rsidR="00AF0A1E" w:rsidRPr="00CF35E0" w:rsidRDefault="00AF0A1E" w:rsidP="00F86ABA">
            <w:pPr>
              <w:jc w:val="center"/>
              <w:rPr>
                <w:b/>
                <w:bCs/>
              </w:rPr>
            </w:pPr>
            <w:r w:rsidRPr="00CF35E0">
              <w:rPr>
                <w:b/>
                <w:bCs/>
                <w:rtl/>
              </w:rPr>
              <w:t>2016</w:t>
            </w:r>
          </w:p>
        </w:tc>
        <w:tc>
          <w:tcPr>
            <w:tcW w:w="1466" w:type="dxa"/>
            <w:tcBorders>
              <w:top w:val="double" w:sz="4" w:space="0" w:color="auto"/>
            </w:tcBorders>
            <w:vAlign w:val="center"/>
          </w:tcPr>
          <w:p w:rsidR="00AF0A1E" w:rsidRPr="00CF35E0" w:rsidRDefault="00CF35E0" w:rsidP="00F86ABA">
            <w:pPr>
              <w:jc w:val="center"/>
              <w:rPr>
                <w:b/>
                <w:bCs/>
                <w:rtl/>
              </w:rPr>
            </w:pPr>
            <w:r w:rsidRPr="00CF35E0">
              <w:rPr>
                <w:b/>
                <w:bCs/>
                <w:rtl/>
              </w:rPr>
              <w:t>201</w:t>
            </w:r>
            <w:r w:rsidRPr="00CF35E0">
              <w:rPr>
                <w:rFonts w:hint="cs"/>
                <w:b/>
                <w:bCs/>
                <w:rtl/>
              </w:rPr>
              <w:t>7</w:t>
            </w:r>
          </w:p>
        </w:tc>
        <w:tc>
          <w:tcPr>
            <w:tcW w:w="1314" w:type="dxa"/>
            <w:tcBorders>
              <w:top w:val="double" w:sz="4" w:space="0" w:color="auto"/>
            </w:tcBorders>
            <w:shd w:val="clear" w:color="auto" w:fill="auto"/>
            <w:vAlign w:val="center"/>
            <w:hideMark/>
          </w:tcPr>
          <w:p w:rsidR="00AF0A1E" w:rsidRPr="00CF35E0" w:rsidRDefault="00AF0A1E" w:rsidP="00F86ABA">
            <w:pPr>
              <w:jc w:val="center"/>
              <w:rPr>
                <w:b/>
                <w:bCs/>
              </w:rPr>
            </w:pPr>
            <w:r w:rsidRPr="00CF35E0">
              <w:rPr>
                <w:b/>
                <w:bCs/>
                <w:rtl/>
              </w:rPr>
              <w:t>201</w:t>
            </w:r>
            <w:r w:rsidR="00CF35E0" w:rsidRPr="00CF35E0">
              <w:rPr>
                <w:rFonts w:hint="cs"/>
                <w:b/>
                <w:bCs/>
                <w:rtl/>
              </w:rPr>
              <w:t>8</w:t>
            </w:r>
          </w:p>
        </w:tc>
        <w:tc>
          <w:tcPr>
            <w:tcW w:w="1420" w:type="dxa"/>
            <w:tcBorders>
              <w:top w:val="double" w:sz="4" w:space="0" w:color="auto"/>
            </w:tcBorders>
            <w:shd w:val="clear" w:color="auto" w:fill="auto"/>
            <w:vAlign w:val="center"/>
            <w:hideMark/>
          </w:tcPr>
          <w:p w:rsidR="00AF0A1E" w:rsidRPr="00CF35E0" w:rsidRDefault="00AF0A1E" w:rsidP="00F86ABA">
            <w:pPr>
              <w:jc w:val="center"/>
              <w:rPr>
                <w:b/>
                <w:bCs/>
              </w:rPr>
            </w:pPr>
            <w:r w:rsidRPr="00CF35E0">
              <w:rPr>
                <w:b/>
                <w:bCs/>
                <w:rtl/>
              </w:rPr>
              <w:t>אחוז שינוי 201</w:t>
            </w:r>
            <w:r w:rsidR="00CF35E0" w:rsidRPr="00CF35E0">
              <w:rPr>
                <w:rFonts w:hint="cs"/>
                <w:b/>
                <w:bCs/>
                <w:rtl/>
              </w:rPr>
              <w:t>8</w:t>
            </w:r>
            <w:r w:rsidRPr="00CF35E0">
              <w:rPr>
                <w:b/>
                <w:bCs/>
                <w:rtl/>
              </w:rPr>
              <w:t xml:space="preserve"> לעומת 201</w:t>
            </w:r>
            <w:r w:rsidR="00CF35E0" w:rsidRPr="00CF35E0">
              <w:rPr>
                <w:rFonts w:hint="cs"/>
                <w:b/>
                <w:bCs/>
                <w:rtl/>
              </w:rPr>
              <w:t>7</w:t>
            </w:r>
          </w:p>
        </w:tc>
      </w:tr>
      <w:tr w:rsidR="0076673A" w:rsidRPr="00CF35E0" w:rsidTr="0076673A">
        <w:trPr>
          <w:trHeight w:val="315"/>
          <w:jc w:val="center"/>
        </w:trPr>
        <w:tc>
          <w:tcPr>
            <w:tcW w:w="2307" w:type="dxa"/>
            <w:shd w:val="clear" w:color="auto" w:fill="auto"/>
            <w:noWrap/>
            <w:vAlign w:val="center"/>
            <w:hideMark/>
          </w:tcPr>
          <w:p w:rsidR="0076673A" w:rsidRPr="00CF35E0" w:rsidRDefault="0076673A" w:rsidP="00C023A7">
            <w:pPr>
              <w:rPr>
                <w:b/>
                <w:bCs/>
              </w:rPr>
            </w:pPr>
            <w:r w:rsidRPr="00CF35E0">
              <w:rPr>
                <w:b/>
                <w:bCs/>
                <w:rtl/>
              </w:rPr>
              <w:t xml:space="preserve">סך הכל  </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14,082.8</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14,833.4</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15,355.9</w:t>
            </w:r>
          </w:p>
        </w:tc>
        <w:tc>
          <w:tcPr>
            <w:tcW w:w="1466" w:type="dxa"/>
            <w:vAlign w:val="center"/>
          </w:tcPr>
          <w:p w:rsidR="0076673A" w:rsidRPr="0076673A" w:rsidRDefault="0076673A" w:rsidP="0076673A">
            <w:pPr>
              <w:jc w:val="center"/>
              <w:rPr>
                <w:sz w:val="22"/>
                <w:szCs w:val="22"/>
              </w:rPr>
            </w:pPr>
            <w:r w:rsidRPr="0076673A">
              <w:rPr>
                <w:sz w:val="22"/>
                <w:szCs w:val="22"/>
              </w:rPr>
              <w:t>15,646.9</w:t>
            </w:r>
          </w:p>
        </w:tc>
        <w:tc>
          <w:tcPr>
            <w:tcW w:w="1314" w:type="dxa"/>
            <w:shd w:val="clear" w:color="auto" w:fill="auto"/>
            <w:vAlign w:val="center"/>
            <w:hideMark/>
          </w:tcPr>
          <w:p w:rsidR="0076673A" w:rsidRPr="0076673A" w:rsidRDefault="0076673A" w:rsidP="00F86ABA">
            <w:pPr>
              <w:jc w:val="center"/>
              <w:rPr>
                <w:sz w:val="22"/>
                <w:szCs w:val="22"/>
              </w:rPr>
            </w:pPr>
            <w:r w:rsidRPr="0076673A">
              <w:rPr>
                <w:sz w:val="22"/>
                <w:szCs w:val="22"/>
              </w:rPr>
              <w:t>15,7</w:t>
            </w:r>
            <w:r w:rsidR="00F86ABA">
              <w:rPr>
                <w:sz w:val="22"/>
                <w:szCs w:val="22"/>
              </w:rPr>
              <w:t>31</w:t>
            </w:r>
            <w:r w:rsidRPr="0076673A">
              <w:rPr>
                <w:sz w:val="22"/>
                <w:szCs w:val="22"/>
              </w:rPr>
              <w:t>.</w:t>
            </w:r>
            <w:r w:rsidR="00F86ABA">
              <w:rPr>
                <w:sz w:val="22"/>
                <w:szCs w:val="22"/>
              </w:rPr>
              <w:t>0</w:t>
            </w:r>
          </w:p>
        </w:tc>
        <w:tc>
          <w:tcPr>
            <w:tcW w:w="1420" w:type="dxa"/>
            <w:shd w:val="clear" w:color="auto" w:fill="auto"/>
            <w:noWrap/>
            <w:vAlign w:val="center"/>
            <w:hideMark/>
          </w:tcPr>
          <w:p w:rsidR="0076673A" w:rsidRPr="0076673A" w:rsidRDefault="0076673A" w:rsidP="0076673A">
            <w:pPr>
              <w:jc w:val="center"/>
              <w:rPr>
                <w:sz w:val="22"/>
                <w:szCs w:val="22"/>
              </w:rPr>
            </w:pPr>
            <w:r w:rsidRPr="0076673A">
              <w:rPr>
                <w:sz w:val="22"/>
                <w:szCs w:val="22"/>
              </w:rPr>
              <w:t>0.5%</w:t>
            </w:r>
          </w:p>
        </w:tc>
      </w:tr>
      <w:tr w:rsidR="00543E21" w:rsidRPr="00CF35E0" w:rsidTr="00543E21">
        <w:trPr>
          <w:trHeight w:val="456"/>
          <w:jc w:val="center"/>
        </w:trPr>
        <w:tc>
          <w:tcPr>
            <w:tcW w:w="2307" w:type="dxa"/>
            <w:tcBorders>
              <w:right w:val="nil"/>
            </w:tcBorders>
            <w:shd w:val="clear" w:color="auto" w:fill="auto"/>
            <w:noWrap/>
            <w:vAlign w:val="center"/>
          </w:tcPr>
          <w:p w:rsidR="00543E21" w:rsidRPr="00CF35E0" w:rsidRDefault="00543E21" w:rsidP="00C023A7">
            <w:pPr>
              <w:rPr>
                <w:b/>
                <w:bCs/>
                <w:rtl/>
              </w:rPr>
            </w:pPr>
            <w:r>
              <w:rPr>
                <w:rFonts w:hint="cs"/>
                <w:b/>
                <w:bCs/>
                <w:rtl/>
              </w:rPr>
              <w:t>מזה:</w:t>
            </w:r>
          </w:p>
        </w:tc>
        <w:tc>
          <w:tcPr>
            <w:tcW w:w="1314" w:type="dxa"/>
            <w:tcBorders>
              <w:left w:val="nil"/>
              <w:right w:val="nil"/>
            </w:tcBorders>
            <w:shd w:val="clear" w:color="auto" w:fill="auto"/>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c>
          <w:tcPr>
            <w:tcW w:w="1314" w:type="dxa"/>
            <w:tcBorders>
              <w:left w:val="nil"/>
              <w:right w:val="nil"/>
            </w:tcBorders>
            <w:shd w:val="clear" w:color="auto" w:fill="auto"/>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c>
          <w:tcPr>
            <w:tcW w:w="1314" w:type="dxa"/>
            <w:tcBorders>
              <w:left w:val="nil"/>
              <w:right w:val="nil"/>
            </w:tcBorders>
            <w:shd w:val="clear" w:color="auto" w:fill="auto"/>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c>
          <w:tcPr>
            <w:tcW w:w="1466" w:type="dxa"/>
            <w:tcBorders>
              <w:left w:val="nil"/>
              <w:right w:val="nil"/>
            </w:tcBorders>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c>
          <w:tcPr>
            <w:tcW w:w="1314" w:type="dxa"/>
            <w:tcBorders>
              <w:left w:val="nil"/>
              <w:right w:val="nil"/>
            </w:tcBorders>
            <w:shd w:val="clear" w:color="auto" w:fill="auto"/>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c>
          <w:tcPr>
            <w:tcW w:w="1420" w:type="dxa"/>
            <w:tcBorders>
              <w:left w:val="nil"/>
            </w:tcBorders>
            <w:shd w:val="clear" w:color="auto" w:fill="auto"/>
            <w:noWrap/>
            <w:vAlign w:val="center"/>
          </w:tcPr>
          <w:p w:rsidR="00543E21" w:rsidRPr="0076673A" w:rsidRDefault="00703DE4" w:rsidP="0076673A">
            <w:pPr>
              <w:jc w:val="center"/>
              <w:rPr>
                <w:sz w:val="22"/>
                <w:szCs w:val="22"/>
              </w:rPr>
            </w:pPr>
            <w:r w:rsidRPr="00703DE4">
              <w:rPr>
                <w:rFonts w:hint="cs"/>
                <w:b/>
                <w:bCs/>
                <w:color w:val="FFFFFF" w:themeColor="background1"/>
                <w:rtl/>
              </w:rPr>
              <w:t>מזה:</w:t>
            </w:r>
          </w:p>
        </w:tc>
      </w:tr>
      <w:tr w:rsidR="0076673A" w:rsidRPr="00CF35E0" w:rsidTr="0076673A">
        <w:trPr>
          <w:trHeight w:val="456"/>
          <w:jc w:val="center"/>
        </w:trPr>
        <w:tc>
          <w:tcPr>
            <w:tcW w:w="2307" w:type="dxa"/>
            <w:shd w:val="clear" w:color="auto" w:fill="auto"/>
            <w:noWrap/>
            <w:vAlign w:val="center"/>
            <w:hideMark/>
          </w:tcPr>
          <w:p w:rsidR="0076673A" w:rsidRPr="00CF35E0" w:rsidRDefault="0076673A" w:rsidP="00C023A7">
            <w:pPr>
              <w:rPr>
                <w:b/>
                <w:bCs/>
              </w:rPr>
            </w:pPr>
            <w:r w:rsidRPr="00CF35E0">
              <w:rPr>
                <w:b/>
                <w:bCs/>
                <w:rtl/>
              </w:rPr>
              <w:t xml:space="preserve">חשמל </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4,508.8</w:t>
            </w:r>
          </w:p>
        </w:tc>
        <w:tc>
          <w:tcPr>
            <w:tcW w:w="1314" w:type="dxa"/>
            <w:shd w:val="clear" w:color="auto" w:fill="auto"/>
            <w:vAlign w:val="center"/>
            <w:hideMark/>
          </w:tcPr>
          <w:p w:rsidR="0076673A" w:rsidRPr="0076673A" w:rsidRDefault="0076673A" w:rsidP="0076673A">
            <w:pPr>
              <w:jc w:val="center"/>
              <w:rPr>
                <w:sz w:val="22"/>
                <w:szCs w:val="22"/>
                <w:rtl/>
              </w:rPr>
            </w:pPr>
            <w:r w:rsidRPr="0076673A">
              <w:rPr>
                <w:sz w:val="22"/>
                <w:szCs w:val="22"/>
              </w:rPr>
              <w:t>4,711.9</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4,861.3</w:t>
            </w:r>
          </w:p>
        </w:tc>
        <w:tc>
          <w:tcPr>
            <w:tcW w:w="1466" w:type="dxa"/>
            <w:vAlign w:val="center"/>
          </w:tcPr>
          <w:p w:rsidR="0076673A" w:rsidRPr="0076673A" w:rsidRDefault="0076673A" w:rsidP="0076673A">
            <w:pPr>
              <w:jc w:val="center"/>
              <w:rPr>
                <w:sz w:val="22"/>
                <w:szCs w:val="22"/>
              </w:rPr>
            </w:pPr>
            <w:r w:rsidRPr="0076673A">
              <w:rPr>
                <w:sz w:val="22"/>
                <w:szCs w:val="22"/>
              </w:rPr>
              <w:t>4,908.9</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5,013.0</w:t>
            </w:r>
          </w:p>
        </w:tc>
        <w:tc>
          <w:tcPr>
            <w:tcW w:w="1420" w:type="dxa"/>
            <w:shd w:val="clear" w:color="auto" w:fill="auto"/>
            <w:noWrap/>
            <w:vAlign w:val="center"/>
            <w:hideMark/>
          </w:tcPr>
          <w:p w:rsidR="0076673A" w:rsidRPr="0076673A" w:rsidRDefault="0076673A" w:rsidP="0076673A">
            <w:pPr>
              <w:jc w:val="center"/>
              <w:rPr>
                <w:sz w:val="22"/>
                <w:szCs w:val="22"/>
              </w:rPr>
            </w:pPr>
            <w:r w:rsidRPr="0076673A">
              <w:rPr>
                <w:sz w:val="22"/>
                <w:szCs w:val="22"/>
              </w:rPr>
              <w:t>2.1%</w:t>
            </w:r>
          </w:p>
        </w:tc>
      </w:tr>
      <w:tr w:rsidR="0076673A" w:rsidRPr="00CF35E0" w:rsidTr="0076673A">
        <w:trPr>
          <w:trHeight w:val="288"/>
          <w:jc w:val="center"/>
        </w:trPr>
        <w:tc>
          <w:tcPr>
            <w:tcW w:w="2307" w:type="dxa"/>
            <w:shd w:val="clear" w:color="auto" w:fill="auto"/>
            <w:noWrap/>
            <w:vAlign w:val="center"/>
            <w:hideMark/>
          </w:tcPr>
          <w:p w:rsidR="0076673A" w:rsidRPr="00CF35E0" w:rsidRDefault="0076673A" w:rsidP="00C023A7">
            <w:pPr>
              <w:rPr>
                <w:b/>
                <w:bCs/>
              </w:rPr>
            </w:pPr>
            <w:r w:rsidRPr="00CF35E0">
              <w:rPr>
                <w:b/>
                <w:bCs/>
                <w:rtl/>
              </w:rPr>
              <w:t>מוצרי נפט*</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8,196.4</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8,451.7</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8,696.5</w:t>
            </w:r>
          </w:p>
        </w:tc>
        <w:tc>
          <w:tcPr>
            <w:tcW w:w="1466" w:type="dxa"/>
            <w:vAlign w:val="center"/>
          </w:tcPr>
          <w:p w:rsidR="0076673A" w:rsidRPr="0076673A" w:rsidRDefault="0076673A" w:rsidP="0076673A">
            <w:pPr>
              <w:jc w:val="center"/>
              <w:rPr>
                <w:sz w:val="22"/>
                <w:szCs w:val="22"/>
              </w:rPr>
            </w:pPr>
            <w:r w:rsidRPr="0076673A">
              <w:rPr>
                <w:sz w:val="22"/>
                <w:szCs w:val="22"/>
              </w:rPr>
              <w:t>8,910.4</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8,956.4</w:t>
            </w:r>
          </w:p>
        </w:tc>
        <w:tc>
          <w:tcPr>
            <w:tcW w:w="1420" w:type="dxa"/>
            <w:shd w:val="clear" w:color="auto" w:fill="auto"/>
            <w:noWrap/>
            <w:vAlign w:val="center"/>
            <w:hideMark/>
          </w:tcPr>
          <w:p w:rsidR="0076673A" w:rsidRPr="0076673A" w:rsidRDefault="0076673A" w:rsidP="0076673A">
            <w:pPr>
              <w:jc w:val="center"/>
              <w:rPr>
                <w:sz w:val="22"/>
                <w:szCs w:val="22"/>
              </w:rPr>
            </w:pPr>
            <w:r w:rsidRPr="0076673A">
              <w:rPr>
                <w:sz w:val="22"/>
                <w:szCs w:val="22"/>
              </w:rPr>
              <w:t>0.5%</w:t>
            </w:r>
          </w:p>
        </w:tc>
      </w:tr>
      <w:tr w:rsidR="0076673A" w:rsidRPr="00CF35E0" w:rsidTr="0076673A">
        <w:trPr>
          <w:trHeight w:val="288"/>
          <w:jc w:val="center"/>
        </w:trPr>
        <w:tc>
          <w:tcPr>
            <w:tcW w:w="2307" w:type="dxa"/>
            <w:shd w:val="clear" w:color="auto" w:fill="auto"/>
            <w:noWrap/>
            <w:vAlign w:val="center"/>
            <w:hideMark/>
          </w:tcPr>
          <w:p w:rsidR="0076673A" w:rsidRPr="00CF35E0" w:rsidRDefault="0076673A" w:rsidP="00C023A7">
            <w:pPr>
              <w:rPr>
                <w:b/>
                <w:bCs/>
              </w:rPr>
            </w:pPr>
            <w:r w:rsidRPr="00CF35E0">
              <w:rPr>
                <w:b/>
                <w:bCs/>
                <w:rtl/>
              </w:rPr>
              <w:t>גז טבעי*</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999.1</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1,269.0</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1,308.1</w:t>
            </w:r>
          </w:p>
        </w:tc>
        <w:tc>
          <w:tcPr>
            <w:tcW w:w="1466" w:type="dxa"/>
            <w:vAlign w:val="center"/>
          </w:tcPr>
          <w:p w:rsidR="0076673A" w:rsidRPr="0076673A" w:rsidRDefault="0076673A" w:rsidP="0076673A">
            <w:pPr>
              <w:jc w:val="center"/>
              <w:rPr>
                <w:sz w:val="22"/>
                <w:szCs w:val="22"/>
              </w:rPr>
            </w:pPr>
            <w:r w:rsidRPr="0076673A">
              <w:rPr>
                <w:sz w:val="22"/>
                <w:szCs w:val="22"/>
              </w:rPr>
              <w:t>1,353.9</w:t>
            </w:r>
          </w:p>
        </w:tc>
        <w:tc>
          <w:tcPr>
            <w:tcW w:w="1314" w:type="dxa"/>
            <w:shd w:val="clear" w:color="auto" w:fill="auto"/>
            <w:vAlign w:val="center"/>
            <w:hideMark/>
          </w:tcPr>
          <w:p w:rsidR="0076673A" w:rsidRPr="0076673A" w:rsidRDefault="0076673A" w:rsidP="0076673A">
            <w:pPr>
              <w:jc w:val="center"/>
              <w:rPr>
                <w:sz w:val="22"/>
                <w:szCs w:val="22"/>
              </w:rPr>
            </w:pPr>
            <w:r w:rsidRPr="0076673A">
              <w:rPr>
                <w:sz w:val="22"/>
                <w:szCs w:val="22"/>
              </w:rPr>
              <w:t>1,284.0</w:t>
            </w:r>
          </w:p>
        </w:tc>
        <w:tc>
          <w:tcPr>
            <w:tcW w:w="1420" w:type="dxa"/>
            <w:shd w:val="clear" w:color="auto" w:fill="auto"/>
            <w:noWrap/>
            <w:vAlign w:val="center"/>
            <w:hideMark/>
          </w:tcPr>
          <w:p w:rsidR="0076673A" w:rsidRPr="0076673A" w:rsidRDefault="0076673A" w:rsidP="0076673A">
            <w:pPr>
              <w:jc w:val="center"/>
              <w:rPr>
                <w:sz w:val="22"/>
                <w:szCs w:val="22"/>
                <w:rtl/>
              </w:rPr>
            </w:pPr>
            <w:r w:rsidRPr="0076673A">
              <w:rPr>
                <w:sz w:val="22"/>
                <w:szCs w:val="22"/>
              </w:rPr>
              <w:t>-5.2%</w:t>
            </w:r>
          </w:p>
        </w:tc>
      </w:tr>
      <w:tr w:rsidR="0076673A" w:rsidRPr="00CF35E0" w:rsidTr="0076673A">
        <w:trPr>
          <w:trHeight w:val="288"/>
          <w:jc w:val="center"/>
        </w:trPr>
        <w:tc>
          <w:tcPr>
            <w:tcW w:w="2307" w:type="dxa"/>
            <w:tcBorders>
              <w:bottom w:val="double" w:sz="4" w:space="0" w:color="auto"/>
            </w:tcBorders>
            <w:shd w:val="clear" w:color="auto" w:fill="auto"/>
            <w:noWrap/>
            <w:vAlign w:val="center"/>
            <w:hideMark/>
          </w:tcPr>
          <w:p w:rsidR="0076673A" w:rsidRPr="00CF35E0" w:rsidRDefault="0076673A" w:rsidP="00C023A7">
            <w:pPr>
              <w:rPr>
                <w:b/>
                <w:bCs/>
                <w:rtl/>
              </w:rPr>
            </w:pPr>
            <w:r w:rsidRPr="00CF35E0">
              <w:rPr>
                <w:rFonts w:hint="cs"/>
                <w:b/>
                <w:bCs/>
                <w:rtl/>
              </w:rPr>
              <w:t>פחם ופצלים</w:t>
            </w:r>
          </w:p>
        </w:tc>
        <w:tc>
          <w:tcPr>
            <w:tcW w:w="1314" w:type="dxa"/>
            <w:tcBorders>
              <w:bottom w:val="double" w:sz="4" w:space="0" w:color="auto"/>
            </w:tcBorders>
            <w:shd w:val="clear" w:color="auto" w:fill="auto"/>
            <w:vAlign w:val="center"/>
            <w:hideMark/>
          </w:tcPr>
          <w:p w:rsidR="0076673A" w:rsidRPr="0076673A" w:rsidRDefault="0076673A" w:rsidP="0076673A">
            <w:pPr>
              <w:jc w:val="center"/>
              <w:rPr>
                <w:sz w:val="22"/>
                <w:szCs w:val="22"/>
              </w:rPr>
            </w:pPr>
            <w:r w:rsidRPr="0076673A">
              <w:rPr>
                <w:sz w:val="22"/>
                <w:szCs w:val="22"/>
              </w:rPr>
              <w:t>20.2</w:t>
            </w:r>
          </w:p>
        </w:tc>
        <w:tc>
          <w:tcPr>
            <w:tcW w:w="1314" w:type="dxa"/>
            <w:tcBorders>
              <w:bottom w:val="double" w:sz="4" w:space="0" w:color="auto"/>
            </w:tcBorders>
            <w:shd w:val="clear" w:color="auto" w:fill="auto"/>
            <w:vAlign w:val="center"/>
            <w:hideMark/>
          </w:tcPr>
          <w:p w:rsidR="0076673A" w:rsidRPr="0076673A" w:rsidRDefault="0076673A" w:rsidP="0076673A">
            <w:pPr>
              <w:jc w:val="center"/>
              <w:rPr>
                <w:sz w:val="22"/>
                <w:szCs w:val="22"/>
              </w:rPr>
            </w:pPr>
            <w:r w:rsidRPr="0076673A">
              <w:rPr>
                <w:sz w:val="22"/>
                <w:szCs w:val="22"/>
              </w:rPr>
              <w:t>21.2</w:t>
            </w:r>
          </w:p>
        </w:tc>
        <w:tc>
          <w:tcPr>
            <w:tcW w:w="1314" w:type="dxa"/>
            <w:tcBorders>
              <w:bottom w:val="double" w:sz="4" w:space="0" w:color="auto"/>
            </w:tcBorders>
            <w:shd w:val="clear" w:color="auto" w:fill="auto"/>
            <w:vAlign w:val="center"/>
            <w:hideMark/>
          </w:tcPr>
          <w:p w:rsidR="0076673A" w:rsidRPr="0076673A" w:rsidRDefault="0076673A" w:rsidP="0076673A">
            <w:pPr>
              <w:jc w:val="center"/>
              <w:rPr>
                <w:sz w:val="22"/>
                <w:szCs w:val="22"/>
              </w:rPr>
            </w:pPr>
            <w:r w:rsidRPr="0076673A">
              <w:rPr>
                <w:sz w:val="22"/>
                <w:szCs w:val="22"/>
              </w:rPr>
              <w:t>77.9</w:t>
            </w:r>
          </w:p>
        </w:tc>
        <w:tc>
          <w:tcPr>
            <w:tcW w:w="1466" w:type="dxa"/>
            <w:tcBorders>
              <w:bottom w:val="double" w:sz="4" w:space="0" w:color="auto"/>
            </w:tcBorders>
            <w:vAlign w:val="center"/>
          </w:tcPr>
          <w:p w:rsidR="0076673A" w:rsidRPr="0076673A" w:rsidRDefault="0076673A" w:rsidP="0076673A">
            <w:pPr>
              <w:jc w:val="center"/>
              <w:rPr>
                <w:sz w:val="22"/>
                <w:szCs w:val="22"/>
              </w:rPr>
            </w:pPr>
            <w:r w:rsidRPr="0076673A">
              <w:rPr>
                <w:sz w:val="22"/>
                <w:szCs w:val="22"/>
              </w:rPr>
              <w:t>44.0</w:t>
            </w:r>
          </w:p>
        </w:tc>
        <w:tc>
          <w:tcPr>
            <w:tcW w:w="1314" w:type="dxa"/>
            <w:tcBorders>
              <w:bottom w:val="double" w:sz="4" w:space="0" w:color="auto"/>
            </w:tcBorders>
            <w:shd w:val="clear" w:color="auto" w:fill="auto"/>
            <w:vAlign w:val="center"/>
            <w:hideMark/>
          </w:tcPr>
          <w:p w:rsidR="0076673A" w:rsidRPr="0076673A" w:rsidRDefault="0076673A" w:rsidP="0076673A">
            <w:pPr>
              <w:jc w:val="center"/>
              <w:rPr>
                <w:sz w:val="22"/>
                <w:szCs w:val="22"/>
              </w:rPr>
            </w:pPr>
            <w:r w:rsidRPr="0076673A">
              <w:rPr>
                <w:sz w:val="22"/>
                <w:szCs w:val="22"/>
              </w:rPr>
              <w:t>27.4</w:t>
            </w:r>
          </w:p>
        </w:tc>
        <w:tc>
          <w:tcPr>
            <w:tcW w:w="1420" w:type="dxa"/>
            <w:tcBorders>
              <w:bottom w:val="double" w:sz="4" w:space="0" w:color="auto"/>
            </w:tcBorders>
            <w:shd w:val="clear" w:color="auto" w:fill="auto"/>
            <w:noWrap/>
            <w:vAlign w:val="center"/>
            <w:hideMark/>
          </w:tcPr>
          <w:p w:rsidR="0076673A" w:rsidRPr="0076673A" w:rsidRDefault="0076673A" w:rsidP="0076673A">
            <w:pPr>
              <w:jc w:val="center"/>
              <w:rPr>
                <w:sz w:val="22"/>
                <w:szCs w:val="22"/>
              </w:rPr>
            </w:pPr>
            <w:r w:rsidRPr="0076673A">
              <w:rPr>
                <w:sz w:val="22"/>
                <w:szCs w:val="22"/>
              </w:rPr>
              <w:t>-37.8%</w:t>
            </w:r>
          </w:p>
        </w:tc>
      </w:tr>
    </w:tbl>
    <w:p w:rsidR="004B4400" w:rsidRPr="00CF35E0" w:rsidRDefault="002E668B" w:rsidP="00BB0373">
      <w:pPr>
        <w:spacing w:before="60"/>
        <w:rPr>
          <w:rtl/>
        </w:rPr>
      </w:pPr>
      <w:r w:rsidRPr="00CF35E0">
        <w:rPr>
          <w:rFonts w:hint="cs"/>
          <w:rtl/>
        </w:rPr>
        <w:t xml:space="preserve">* </w:t>
      </w:r>
      <w:r w:rsidR="00A74DB1" w:rsidRPr="00CF35E0">
        <w:rPr>
          <w:rFonts w:hint="cs"/>
          <w:rtl/>
        </w:rPr>
        <w:t>ללא</w:t>
      </w:r>
      <w:r w:rsidRPr="00CF35E0">
        <w:rPr>
          <w:rFonts w:hint="cs"/>
          <w:rtl/>
        </w:rPr>
        <w:t xml:space="preserve"> צריכ</w:t>
      </w:r>
      <w:r w:rsidR="00BC013E" w:rsidRPr="00CF35E0">
        <w:rPr>
          <w:rFonts w:hint="cs"/>
          <w:rtl/>
        </w:rPr>
        <w:t>ת אנרגיה</w:t>
      </w:r>
      <w:r w:rsidRPr="00CF35E0">
        <w:rPr>
          <w:rFonts w:hint="cs"/>
          <w:rtl/>
        </w:rPr>
        <w:t xml:space="preserve"> לייצור חשמל</w:t>
      </w:r>
      <w:r w:rsidR="00BC013E" w:rsidRPr="00CF35E0">
        <w:rPr>
          <w:rFonts w:hint="cs"/>
          <w:rtl/>
        </w:rPr>
        <w:t xml:space="preserve"> וזיקוק דלקים</w:t>
      </w:r>
    </w:p>
    <w:p w:rsidR="002E2C93" w:rsidRPr="00CB6188" w:rsidRDefault="00F15539" w:rsidP="00F86ABA">
      <w:pPr>
        <w:spacing w:after="240"/>
        <w:rPr>
          <w:rtl/>
        </w:rPr>
      </w:pPr>
      <w:r w:rsidRPr="00E16A6A">
        <w:rPr>
          <w:color w:val="548DD4" w:themeColor="text2" w:themeTint="99"/>
          <w:sz w:val="22"/>
          <w:szCs w:val="22"/>
          <w:rtl/>
        </w:rPr>
        <w:br w:type="page"/>
      </w:r>
      <w:r w:rsidR="004B4400" w:rsidRPr="00CB6188">
        <w:rPr>
          <w:rFonts w:hint="cs"/>
          <w:rtl/>
        </w:rPr>
        <w:lastRenderedPageBreak/>
        <w:t>בין השנים 201</w:t>
      </w:r>
      <w:r w:rsidR="00CB6188" w:rsidRPr="00CB6188">
        <w:rPr>
          <w:rFonts w:hint="cs"/>
          <w:rtl/>
        </w:rPr>
        <w:t>7</w:t>
      </w:r>
      <w:r w:rsidR="004B4400" w:rsidRPr="00CB6188">
        <w:rPr>
          <w:rFonts w:hint="cs"/>
          <w:rtl/>
        </w:rPr>
        <w:t xml:space="preserve"> </w:t>
      </w:r>
      <w:r w:rsidR="007D6D65" w:rsidRPr="00CB6188">
        <w:rPr>
          <w:rFonts w:hint="cs"/>
          <w:rtl/>
        </w:rPr>
        <w:t>ל</w:t>
      </w:r>
      <w:r w:rsidR="004B4400" w:rsidRPr="00CB6188">
        <w:rPr>
          <w:rFonts w:hint="cs"/>
          <w:rtl/>
        </w:rPr>
        <w:t>-201</w:t>
      </w:r>
      <w:r w:rsidR="00ED4B5C" w:rsidRPr="00CB6188">
        <w:rPr>
          <w:rFonts w:hint="cs"/>
          <w:rtl/>
        </w:rPr>
        <w:t>8</w:t>
      </w:r>
      <w:r w:rsidR="004B4400" w:rsidRPr="00CB6188">
        <w:rPr>
          <w:rFonts w:hint="cs"/>
          <w:rtl/>
        </w:rPr>
        <w:t xml:space="preserve"> עלתה הצריכה הסופית של אנרגיה ב</w:t>
      </w:r>
      <w:r w:rsidRPr="00CB6188">
        <w:rPr>
          <w:rFonts w:hint="cs"/>
          <w:rtl/>
        </w:rPr>
        <w:t>-</w:t>
      </w:r>
      <w:r w:rsidR="00CB6188" w:rsidRPr="00CB6188">
        <w:rPr>
          <w:rFonts w:hint="cs"/>
          <w:rtl/>
        </w:rPr>
        <w:t>0.5</w:t>
      </w:r>
      <w:r w:rsidR="002E2C93" w:rsidRPr="00CB6188">
        <w:rPr>
          <w:rFonts w:hint="cs"/>
          <w:rtl/>
        </w:rPr>
        <w:t>%</w:t>
      </w:r>
      <w:r w:rsidR="00757AC0">
        <w:rPr>
          <w:rFonts w:hint="cs"/>
          <w:rtl/>
        </w:rPr>
        <w:t>.</w:t>
      </w:r>
      <w:r w:rsidR="008E27FA" w:rsidRPr="00CB6188">
        <w:rPr>
          <w:rFonts w:hint="cs"/>
          <w:rtl/>
        </w:rPr>
        <w:t xml:space="preserve"> </w:t>
      </w:r>
      <w:r w:rsidR="00757AC0">
        <w:rPr>
          <w:rFonts w:hint="cs"/>
          <w:rtl/>
        </w:rPr>
        <w:t>עם זאת</w:t>
      </w:r>
      <w:r w:rsidR="008E27FA" w:rsidRPr="00CB6188">
        <w:rPr>
          <w:rFonts w:hint="cs"/>
          <w:rtl/>
        </w:rPr>
        <w:t xml:space="preserve"> </w:t>
      </w:r>
      <w:r w:rsidR="002E2C93" w:rsidRPr="00CB6188">
        <w:rPr>
          <w:rFonts w:hint="cs"/>
          <w:rtl/>
        </w:rPr>
        <w:t>הצריכה לנפש</w:t>
      </w:r>
      <w:r w:rsidR="008E27FA" w:rsidRPr="00CB6188">
        <w:rPr>
          <w:rFonts w:hint="cs"/>
          <w:rtl/>
        </w:rPr>
        <w:t xml:space="preserve"> </w:t>
      </w:r>
      <w:r w:rsidR="00CB6188" w:rsidRPr="00CB6188">
        <w:rPr>
          <w:rFonts w:hint="cs"/>
          <w:rtl/>
        </w:rPr>
        <w:t>ירדה ב-1.4%</w:t>
      </w:r>
      <w:r w:rsidR="008E27FA" w:rsidRPr="00CB6188">
        <w:rPr>
          <w:rFonts w:hint="cs"/>
          <w:rtl/>
        </w:rPr>
        <w:t xml:space="preserve"> </w:t>
      </w:r>
      <w:r w:rsidR="00757AC0" w:rsidRPr="00FC0D39">
        <w:rPr>
          <w:rFonts w:hint="cs"/>
          <w:rtl/>
        </w:rPr>
        <w:t>בעקבות</w:t>
      </w:r>
      <w:r w:rsidR="00CB6188" w:rsidRPr="00FC0D39">
        <w:rPr>
          <w:rtl/>
        </w:rPr>
        <w:t xml:space="preserve"> שיעור גידול </w:t>
      </w:r>
      <w:r w:rsidR="00CB6188" w:rsidRPr="00FC0D39">
        <w:rPr>
          <w:rFonts w:hint="eastAsia"/>
          <w:rtl/>
        </w:rPr>
        <w:t>באוכלוס</w:t>
      </w:r>
      <w:r w:rsidR="00F86ABA">
        <w:rPr>
          <w:rFonts w:hint="cs"/>
          <w:rtl/>
        </w:rPr>
        <w:t>י</w:t>
      </w:r>
      <w:r w:rsidR="00CB6188" w:rsidRPr="00FC0D39">
        <w:rPr>
          <w:rFonts w:hint="eastAsia"/>
          <w:rtl/>
        </w:rPr>
        <w:t>יה</w:t>
      </w:r>
      <w:r w:rsidR="00CB6188" w:rsidRPr="00FC0D39">
        <w:rPr>
          <w:rtl/>
        </w:rPr>
        <w:t xml:space="preserve"> גבוה משיעור הגידול בצריכה הסופית</w:t>
      </w:r>
      <w:r w:rsidR="00CB6188" w:rsidRPr="00FC0D39">
        <w:rPr>
          <w:rFonts w:hint="cs"/>
          <w:rtl/>
        </w:rPr>
        <w:t>.</w:t>
      </w:r>
      <w:r w:rsidR="008E27FA" w:rsidRPr="00FC0D39">
        <w:rPr>
          <w:rFonts w:hint="cs"/>
          <w:rtl/>
        </w:rPr>
        <w:t xml:space="preserve"> הצריכה ביחס לתמ"ג ירדה</w:t>
      </w:r>
      <w:r w:rsidR="002E2C93" w:rsidRPr="00FC0D39">
        <w:rPr>
          <w:rFonts w:hint="cs"/>
          <w:rtl/>
        </w:rPr>
        <w:t xml:space="preserve"> ב</w:t>
      </w:r>
      <w:r w:rsidRPr="00FC0D39">
        <w:rPr>
          <w:rFonts w:hint="cs"/>
          <w:rtl/>
        </w:rPr>
        <w:t>-</w:t>
      </w:r>
      <w:r w:rsidR="00CB6188" w:rsidRPr="00FC0D39">
        <w:rPr>
          <w:rFonts w:hint="cs"/>
          <w:rtl/>
        </w:rPr>
        <w:t>2.</w:t>
      </w:r>
      <w:r w:rsidR="00757AC0" w:rsidRPr="00FC0D39">
        <w:rPr>
          <w:rFonts w:hint="cs"/>
          <w:rtl/>
        </w:rPr>
        <w:t>8</w:t>
      </w:r>
      <w:r w:rsidR="002E2C93" w:rsidRPr="00FC0D39">
        <w:rPr>
          <w:rFonts w:hint="cs"/>
          <w:rtl/>
        </w:rPr>
        <w:t>%</w:t>
      </w:r>
      <w:r w:rsidR="00F86ABA">
        <w:rPr>
          <w:rFonts w:hint="cs"/>
          <w:rtl/>
        </w:rPr>
        <w:t>,</w:t>
      </w:r>
      <w:r w:rsidR="00CB6188" w:rsidRPr="00CB6188">
        <w:rPr>
          <w:rFonts w:hint="cs"/>
          <w:rtl/>
        </w:rPr>
        <w:t xml:space="preserve"> בהמשך לירידה בשיעור 1.</w:t>
      </w:r>
      <w:r w:rsidR="00757AC0">
        <w:rPr>
          <w:rFonts w:hint="cs"/>
          <w:rtl/>
        </w:rPr>
        <w:t>6</w:t>
      </w:r>
      <w:r w:rsidR="00CB6188" w:rsidRPr="00CB6188">
        <w:rPr>
          <w:rFonts w:hint="cs"/>
          <w:rtl/>
        </w:rPr>
        <w:t>% בשנת 2017</w:t>
      </w:r>
      <w:r w:rsidR="002E2C93" w:rsidRPr="00CB6188">
        <w:rPr>
          <w:rFonts w:hint="cs"/>
          <w:rtl/>
        </w:rPr>
        <w:t>.</w:t>
      </w:r>
      <w:r w:rsidR="002E668B" w:rsidRPr="00CB6188">
        <w:rPr>
          <w:rFonts w:hint="cs"/>
          <w:rtl/>
        </w:rPr>
        <w:t xml:space="preserve"> ירידה </w:t>
      </w:r>
      <w:r w:rsidR="008E27FA" w:rsidRPr="00CB6188">
        <w:rPr>
          <w:rFonts w:hint="cs"/>
          <w:rtl/>
        </w:rPr>
        <w:t>זו</w:t>
      </w:r>
      <w:r w:rsidR="002E668B" w:rsidRPr="00CB6188">
        <w:rPr>
          <w:rFonts w:hint="cs"/>
          <w:rtl/>
        </w:rPr>
        <w:t xml:space="preserve"> עשויה </w:t>
      </w:r>
      <w:r w:rsidR="00757AC0">
        <w:rPr>
          <w:rFonts w:hint="cs"/>
          <w:rtl/>
        </w:rPr>
        <w:t>לנבוע</w:t>
      </w:r>
      <w:r w:rsidR="002E668B" w:rsidRPr="00CB6188">
        <w:rPr>
          <w:rFonts w:hint="cs"/>
          <w:rtl/>
        </w:rPr>
        <w:t xml:space="preserve"> </w:t>
      </w:r>
      <w:r w:rsidR="00757AC0">
        <w:rPr>
          <w:rFonts w:hint="cs"/>
          <w:rtl/>
        </w:rPr>
        <w:t>מה</w:t>
      </w:r>
      <w:r w:rsidR="002E668B" w:rsidRPr="00CB6188">
        <w:rPr>
          <w:rFonts w:hint="cs"/>
          <w:rtl/>
        </w:rPr>
        <w:t>תייע</w:t>
      </w:r>
      <w:r w:rsidR="008E27FA" w:rsidRPr="00CB6188">
        <w:rPr>
          <w:rFonts w:hint="cs"/>
          <w:rtl/>
        </w:rPr>
        <w:t>לות</w:t>
      </w:r>
      <w:r w:rsidR="00D015E3" w:rsidRPr="00CB6188">
        <w:rPr>
          <w:rFonts w:hint="cs"/>
          <w:rtl/>
        </w:rPr>
        <w:t xml:space="preserve"> </w:t>
      </w:r>
      <w:r w:rsidR="008E27FA" w:rsidRPr="00CB6188">
        <w:rPr>
          <w:rFonts w:hint="cs"/>
          <w:rtl/>
        </w:rPr>
        <w:t>במשק</w:t>
      </w:r>
      <w:r w:rsidR="00D015E3" w:rsidRPr="00CB6188">
        <w:rPr>
          <w:rFonts w:hint="cs"/>
          <w:rtl/>
        </w:rPr>
        <w:t xml:space="preserve"> </w:t>
      </w:r>
      <w:r w:rsidR="00757AC0">
        <w:rPr>
          <w:rFonts w:hint="cs"/>
          <w:rtl/>
        </w:rPr>
        <w:t>או ממעבר לי</w:t>
      </w:r>
      <w:r w:rsidR="00F86ABA">
        <w:rPr>
          <w:rFonts w:hint="cs"/>
          <w:rtl/>
        </w:rPr>
        <w:t>י</w:t>
      </w:r>
      <w:r w:rsidR="00757AC0">
        <w:rPr>
          <w:rFonts w:hint="cs"/>
          <w:rtl/>
        </w:rPr>
        <w:t>צור בענפי כלכלה שאינם עתירי אנרגיה</w:t>
      </w:r>
      <w:r w:rsidR="008E27FA" w:rsidRPr="00CB6188">
        <w:rPr>
          <w:rFonts w:hint="cs"/>
          <w:rtl/>
        </w:rPr>
        <w:t>.</w:t>
      </w:r>
    </w:p>
    <w:p w:rsidR="00F40D49" w:rsidRPr="00CB6188" w:rsidRDefault="00F40D49" w:rsidP="00BB0373">
      <w:pPr>
        <w:pStyle w:val="aa"/>
        <w:spacing w:line="240" w:lineRule="auto"/>
        <w:rPr>
          <w:rStyle w:val="afa"/>
          <w:rFonts w:cs="Arial"/>
          <w:bCs/>
          <w:rtl/>
        </w:rPr>
      </w:pPr>
      <w:r w:rsidRPr="00CB6188">
        <w:rPr>
          <w:rStyle w:val="afa"/>
          <w:rFonts w:cs="Arial"/>
          <w:bCs/>
          <w:rtl/>
        </w:rPr>
        <w:t>תרשים 4 - מדדי צריכה סופית של אנרגיה - סה"כ, לנפש ולתמ"ג</w:t>
      </w:r>
      <w:r w:rsidRPr="00CB6188">
        <w:rPr>
          <w:rStyle w:val="afa"/>
          <w:rFonts w:cs="Arial" w:hint="cs"/>
          <w:bCs/>
          <w:rtl/>
        </w:rPr>
        <w:t>,</w:t>
      </w:r>
      <w:r w:rsidR="0009034B" w:rsidRPr="00CB6188">
        <w:rPr>
          <w:rStyle w:val="afa"/>
          <w:rFonts w:cs="Arial" w:hint="cs"/>
          <w:bCs/>
          <w:rtl/>
        </w:rPr>
        <w:t xml:space="preserve"> </w:t>
      </w:r>
      <w:r w:rsidRPr="00CB6188">
        <w:rPr>
          <w:rStyle w:val="afa"/>
          <w:rFonts w:cs="Arial"/>
          <w:bCs/>
          <w:rtl/>
        </w:rPr>
        <w:t>(בסיס 100=201</w:t>
      </w:r>
      <w:r w:rsidR="00CB6188" w:rsidRPr="00CB6188">
        <w:rPr>
          <w:rStyle w:val="afa"/>
          <w:rFonts w:cs="Arial" w:hint="cs"/>
          <w:bCs/>
          <w:rtl/>
        </w:rPr>
        <w:t>3</w:t>
      </w:r>
      <w:r w:rsidRPr="00CB6188">
        <w:rPr>
          <w:rStyle w:val="afa"/>
          <w:rFonts w:cs="Arial"/>
          <w:bCs/>
          <w:rtl/>
        </w:rPr>
        <w:t>)</w:t>
      </w:r>
    </w:p>
    <w:p w:rsidR="001A3AE1" w:rsidRPr="001A3AE1" w:rsidRDefault="00860090" w:rsidP="00AD5643">
      <w:pPr>
        <w:jc w:val="center"/>
        <w:rPr>
          <w:noProof/>
          <w:rtl/>
        </w:rPr>
      </w:pPr>
      <w:r>
        <w:rPr>
          <w:noProof/>
        </w:rPr>
        <w:drawing>
          <wp:inline distT="0" distB="0" distL="0" distR="0" wp14:anchorId="4860E92A" wp14:editId="48DDDAA8">
            <wp:extent cx="4782826" cy="2760133"/>
            <wp:effectExtent l="0" t="0" r="0" b="2540"/>
            <wp:docPr id="10" name="תמונה 10" descr="תרשים 4 - מדדי צריכה סופית של אנרגיה - סה&quot;כ, לנפש ולתמ&quot;ג, (בסיס 100=2013)" title="תרשים 4 - מדדי צריכה סופית של אנרגיה - סה&quot;כ, לנפש ולתמ&quot;ג, (בסיס 100=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178" cy="2760913"/>
                    </a:xfrm>
                    <a:prstGeom prst="rect">
                      <a:avLst/>
                    </a:prstGeom>
                    <a:noFill/>
                  </pic:spPr>
                </pic:pic>
              </a:graphicData>
            </a:graphic>
          </wp:inline>
        </w:drawing>
      </w:r>
    </w:p>
    <w:p w:rsidR="005D1CC4" w:rsidRPr="00ED4B5C" w:rsidRDefault="00091716" w:rsidP="00703DE4">
      <w:pPr>
        <w:pStyle w:val="2"/>
        <w:rPr>
          <w:rtl/>
        </w:rPr>
      </w:pPr>
      <w:r w:rsidRPr="00E16A6A">
        <w:rPr>
          <w:color w:val="548DD4" w:themeColor="text2" w:themeTint="99"/>
          <w:rtl/>
        </w:rPr>
        <w:br w:type="page"/>
      </w:r>
      <w:r w:rsidR="005D1CC4" w:rsidRPr="00ED4B5C">
        <w:rPr>
          <w:rFonts w:hint="cs"/>
          <w:rtl/>
        </w:rPr>
        <w:lastRenderedPageBreak/>
        <w:t>מקורות ושימושים של מוצרי נפט</w:t>
      </w:r>
    </w:p>
    <w:p w:rsidR="00131292" w:rsidRDefault="00131292" w:rsidP="008E1AD1">
      <w:pPr>
        <w:rPr>
          <w:noProof/>
          <w:rtl/>
        </w:rPr>
      </w:pPr>
      <w:r w:rsidRPr="00ED4B5C">
        <w:rPr>
          <w:noProof/>
          <w:rtl/>
        </w:rPr>
        <w:t>המקורות למוצרי נפט במשק הם</w:t>
      </w:r>
      <w:r w:rsidRPr="00ED4B5C">
        <w:rPr>
          <w:rFonts w:hint="cs"/>
          <w:noProof/>
          <w:rtl/>
        </w:rPr>
        <w:t xml:space="preserve"> מיבוא</w:t>
      </w:r>
      <w:r w:rsidRPr="00ED4B5C">
        <w:rPr>
          <w:noProof/>
          <w:rtl/>
        </w:rPr>
        <w:t xml:space="preserve"> </w:t>
      </w:r>
      <w:r w:rsidRPr="00ED4B5C">
        <w:rPr>
          <w:rFonts w:hint="cs"/>
          <w:noProof/>
          <w:rtl/>
        </w:rPr>
        <w:t>ומ</w:t>
      </w:r>
      <w:r w:rsidRPr="00ED4B5C">
        <w:rPr>
          <w:noProof/>
          <w:rtl/>
        </w:rPr>
        <w:t>זיקוק מקומי של נפט גולמי</w:t>
      </w:r>
      <w:r w:rsidRPr="00ED4B5C">
        <w:rPr>
          <w:rFonts w:hint="cs"/>
          <w:noProof/>
          <w:rtl/>
        </w:rPr>
        <w:t xml:space="preserve"> </w:t>
      </w:r>
      <w:r w:rsidR="008E1AD1">
        <w:rPr>
          <w:rFonts w:hint="cs"/>
          <w:noProof/>
          <w:rtl/>
        </w:rPr>
        <w:t xml:space="preserve">שרובו </w:t>
      </w:r>
      <w:r w:rsidRPr="00ED4B5C">
        <w:rPr>
          <w:noProof/>
          <w:rtl/>
        </w:rPr>
        <w:t>מיובא. השימושים במוצרי הנפט כוללים: צריכה סופית (כגון בנזין לתחבורה ודלקים לחימום),</w:t>
      </w:r>
      <w:r w:rsidRPr="00ED4B5C">
        <w:rPr>
          <w:rFonts w:hint="cs"/>
          <w:noProof/>
          <w:rtl/>
        </w:rPr>
        <w:t xml:space="preserve"> </w:t>
      </w:r>
      <w:r w:rsidRPr="00ED4B5C">
        <w:rPr>
          <w:noProof/>
          <w:rtl/>
        </w:rPr>
        <w:t>צריכת ביניים (כחומר גלם לייצור חשמל ומגוון מוצרים אחרים)</w:t>
      </w:r>
      <w:r w:rsidRPr="00ED4B5C">
        <w:rPr>
          <w:rFonts w:hint="cs"/>
          <w:noProof/>
          <w:rtl/>
        </w:rPr>
        <w:t>,</w:t>
      </w:r>
      <w:r w:rsidRPr="00ED4B5C">
        <w:rPr>
          <w:noProof/>
          <w:rtl/>
        </w:rPr>
        <w:t xml:space="preserve"> יצוא</w:t>
      </w:r>
      <w:r w:rsidRPr="00ED4B5C">
        <w:rPr>
          <w:rFonts w:hint="cs"/>
          <w:noProof/>
          <w:rtl/>
        </w:rPr>
        <w:t xml:space="preserve"> ו</w:t>
      </w:r>
      <w:r w:rsidR="00564FE1" w:rsidRPr="00ED4B5C">
        <w:rPr>
          <w:rFonts w:hint="cs"/>
          <w:noProof/>
          <w:rtl/>
        </w:rPr>
        <w:t>ת</w:t>
      </w:r>
      <w:r w:rsidRPr="00ED4B5C">
        <w:rPr>
          <w:rFonts w:hint="cs"/>
          <w:noProof/>
          <w:rtl/>
        </w:rPr>
        <w:t xml:space="preserve">דלוק </w:t>
      </w:r>
      <w:r w:rsidR="008E1AD1" w:rsidRPr="00ED4B5C">
        <w:rPr>
          <w:rFonts w:hint="cs"/>
          <w:noProof/>
          <w:rtl/>
        </w:rPr>
        <w:t xml:space="preserve">בין-לאומי </w:t>
      </w:r>
      <w:r w:rsidR="008E1AD1">
        <w:rPr>
          <w:rFonts w:hint="cs"/>
          <w:noProof/>
          <w:rtl/>
        </w:rPr>
        <w:t xml:space="preserve">של </w:t>
      </w:r>
      <w:r w:rsidRPr="00ED4B5C">
        <w:rPr>
          <w:rFonts w:hint="cs"/>
          <w:noProof/>
          <w:rtl/>
        </w:rPr>
        <w:t>אוניות ומטוסים</w:t>
      </w:r>
      <w:r w:rsidRPr="00ED4B5C">
        <w:rPr>
          <w:noProof/>
          <w:rtl/>
        </w:rPr>
        <w:t>.</w:t>
      </w:r>
      <w:r w:rsidRPr="00ED4B5C">
        <w:rPr>
          <w:rFonts w:hint="cs"/>
          <w:noProof/>
          <w:rtl/>
        </w:rPr>
        <w:t xml:space="preserve"> </w:t>
      </w:r>
    </w:p>
    <w:p w:rsidR="004D1466" w:rsidRDefault="001A3AE1" w:rsidP="000B3F62">
      <w:pPr>
        <w:spacing w:before="120"/>
        <w:rPr>
          <w:noProof/>
          <w:rtl/>
        </w:rPr>
      </w:pPr>
      <w:r>
        <w:rPr>
          <w:rFonts w:hint="cs"/>
          <w:noProof/>
          <w:rtl/>
        </w:rPr>
        <w:t xml:space="preserve">בשנת 2018 </w:t>
      </w:r>
      <w:r w:rsidRPr="00ED4B5C">
        <w:rPr>
          <w:noProof/>
          <w:rtl/>
        </w:rPr>
        <w:t xml:space="preserve">המקורות למוצרי נפט במשק </w:t>
      </w:r>
      <w:r>
        <w:rPr>
          <w:rFonts w:hint="cs"/>
          <w:noProof/>
          <w:rtl/>
        </w:rPr>
        <w:t xml:space="preserve">עמדו על  </w:t>
      </w:r>
      <w:r w:rsidRPr="001A7D74">
        <w:rPr>
          <w:rtl/>
        </w:rPr>
        <w:t>1</w:t>
      </w:r>
      <w:r w:rsidRPr="001A7D74">
        <w:rPr>
          <w:rFonts w:hint="cs"/>
          <w:rtl/>
        </w:rPr>
        <w:t>6</w:t>
      </w:r>
      <w:r w:rsidRPr="001A7D74">
        <w:rPr>
          <w:rtl/>
        </w:rPr>
        <w:t>,</w:t>
      </w:r>
      <w:r w:rsidRPr="001A7D74">
        <w:rPr>
          <w:rFonts w:hint="cs"/>
          <w:rtl/>
        </w:rPr>
        <w:t>922</w:t>
      </w:r>
      <w:r w:rsidRPr="001A7D74">
        <w:rPr>
          <w:rtl/>
        </w:rPr>
        <w:t xml:space="preserve"> </w:t>
      </w:r>
      <w:r w:rsidR="007B1AC4">
        <w:rPr>
          <w:rFonts w:hint="cs"/>
          <w:rtl/>
        </w:rPr>
        <w:t xml:space="preserve">אלפי </w:t>
      </w:r>
      <w:proofErr w:type="spellStart"/>
      <w:r w:rsidR="007B1AC4">
        <w:rPr>
          <w:rFonts w:hint="cs"/>
          <w:rtl/>
        </w:rPr>
        <w:t>שעט"ן</w:t>
      </w:r>
      <w:proofErr w:type="spellEnd"/>
      <w:r w:rsidR="007B1AC4">
        <w:rPr>
          <w:rFonts w:hint="cs"/>
          <w:rtl/>
        </w:rPr>
        <w:t xml:space="preserve">: 12.9% </w:t>
      </w:r>
      <w:r w:rsidRPr="00ED4B5C">
        <w:rPr>
          <w:rFonts w:hint="cs"/>
          <w:noProof/>
          <w:rtl/>
        </w:rPr>
        <w:t>מיבוא</w:t>
      </w:r>
      <w:r w:rsidRPr="00ED4B5C">
        <w:rPr>
          <w:noProof/>
          <w:rtl/>
        </w:rPr>
        <w:t xml:space="preserve"> </w:t>
      </w:r>
      <w:r w:rsidRPr="00ED4B5C">
        <w:rPr>
          <w:rFonts w:hint="cs"/>
          <w:noProof/>
          <w:rtl/>
        </w:rPr>
        <w:t>ו</w:t>
      </w:r>
      <w:r w:rsidR="008E1AD1">
        <w:rPr>
          <w:rFonts w:hint="cs"/>
          <w:noProof/>
          <w:rtl/>
        </w:rPr>
        <w:t>-</w:t>
      </w:r>
      <w:r w:rsidR="007B1AC4">
        <w:rPr>
          <w:rFonts w:hint="cs"/>
          <w:noProof/>
          <w:rtl/>
        </w:rPr>
        <w:t xml:space="preserve">87.1% </w:t>
      </w:r>
      <w:r w:rsidRPr="00ED4B5C">
        <w:rPr>
          <w:rFonts w:hint="cs"/>
          <w:noProof/>
          <w:rtl/>
        </w:rPr>
        <w:t>מ</w:t>
      </w:r>
      <w:r w:rsidRPr="00ED4B5C">
        <w:rPr>
          <w:noProof/>
          <w:rtl/>
        </w:rPr>
        <w:t>זיקוק מקומי של נפט גולמי</w:t>
      </w:r>
      <w:r>
        <w:rPr>
          <w:rFonts w:hint="cs"/>
          <w:noProof/>
          <w:rtl/>
        </w:rPr>
        <w:t xml:space="preserve"> </w:t>
      </w:r>
      <w:r w:rsidR="008E1AD1">
        <w:rPr>
          <w:rFonts w:hint="cs"/>
          <w:noProof/>
          <w:rtl/>
        </w:rPr>
        <w:t xml:space="preserve">שרובו </w:t>
      </w:r>
      <w:r w:rsidR="008E1AD1" w:rsidRPr="00ED4B5C">
        <w:rPr>
          <w:noProof/>
          <w:rtl/>
        </w:rPr>
        <w:t>מיובא</w:t>
      </w:r>
      <w:r w:rsidR="007B1AC4">
        <w:rPr>
          <w:rFonts w:hint="cs"/>
          <w:noProof/>
          <w:rtl/>
        </w:rPr>
        <w:t xml:space="preserve">. כלל </w:t>
      </w:r>
      <w:r w:rsidR="007B1AC4">
        <w:rPr>
          <w:rFonts w:hint="cs"/>
          <w:rtl/>
        </w:rPr>
        <w:t>המקורות עלו ב</w:t>
      </w:r>
      <w:r w:rsidR="008E1AD1">
        <w:rPr>
          <w:rFonts w:hint="cs"/>
          <w:rtl/>
        </w:rPr>
        <w:t>-</w:t>
      </w:r>
      <w:r w:rsidR="007B1AC4">
        <w:rPr>
          <w:rFonts w:hint="cs"/>
          <w:rtl/>
        </w:rPr>
        <w:t>5.3% לעומת 2017</w:t>
      </w:r>
      <w:r w:rsidR="007B1AC4" w:rsidRPr="001A7D74">
        <w:rPr>
          <w:rFonts w:hint="cs"/>
          <w:rtl/>
        </w:rPr>
        <w:t xml:space="preserve"> </w:t>
      </w:r>
      <w:r w:rsidR="007B1AC4">
        <w:rPr>
          <w:rFonts w:hint="cs"/>
          <w:rtl/>
        </w:rPr>
        <w:t>(</w:t>
      </w:r>
      <w:r w:rsidR="007B1AC4" w:rsidRPr="001A7D74">
        <w:rPr>
          <w:rFonts w:hint="cs"/>
          <w:rtl/>
        </w:rPr>
        <w:t>16,064</w:t>
      </w:r>
      <w:r w:rsidR="007B1AC4" w:rsidRPr="001A7D74">
        <w:rPr>
          <w:rtl/>
        </w:rPr>
        <w:t xml:space="preserve"> </w:t>
      </w:r>
      <w:r w:rsidR="007B1AC4" w:rsidRPr="001A7D74">
        <w:rPr>
          <w:rFonts w:hint="cs"/>
          <w:rtl/>
        </w:rPr>
        <w:t xml:space="preserve">אלפי </w:t>
      </w:r>
      <w:proofErr w:type="spellStart"/>
      <w:r w:rsidR="007B1AC4" w:rsidRPr="001A7D74">
        <w:rPr>
          <w:rtl/>
        </w:rPr>
        <w:t>שעט"ן</w:t>
      </w:r>
      <w:proofErr w:type="spellEnd"/>
      <w:r w:rsidR="007B1AC4">
        <w:rPr>
          <w:rFonts w:hint="cs"/>
          <w:rtl/>
        </w:rPr>
        <w:t>).</w:t>
      </w:r>
    </w:p>
    <w:p w:rsidR="001A3AE1" w:rsidRDefault="001A3AE1" w:rsidP="000B3F62">
      <w:pPr>
        <w:spacing w:before="120"/>
        <w:rPr>
          <w:noProof/>
          <w:rtl/>
        </w:rPr>
      </w:pPr>
      <w:r w:rsidRPr="00ED4B5C">
        <w:rPr>
          <w:noProof/>
          <w:rtl/>
        </w:rPr>
        <w:t>השימושים במוצרי הנפט כוללים: צריכה סופית</w:t>
      </w:r>
      <w:r>
        <w:rPr>
          <w:noProof/>
        </w:rPr>
        <w:t xml:space="preserve"> </w:t>
      </w:r>
      <w:r>
        <w:rPr>
          <w:rFonts w:hint="cs"/>
          <w:noProof/>
          <w:rtl/>
        </w:rPr>
        <w:t>(54.1%</w:t>
      </w:r>
      <w:r w:rsidRPr="00ED4B5C">
        <w:rPr>
          <w:noProof/>
          <w:rtl/>
        </w:rPr>
        <w:t>),</w:t>
      </w:r>
      <w:r w:rsidRPr="00ED4B5C">
        <w:rPr>
          <w:rFonts w:hint="cs"/>
          <w:noProof/>
          <w:rtl/>
        </w:rPr>
        <w:t xml:space="preserve"> </w:t>
      </w:r>
      <w:r w:rsidRPr="00ED4B5C">
        <w:rPr>
          <w:noProof/>
          <w:rtl/>
        </w:rPr>
        <w:t>צריכת ביניים</w:t>
      </w:r>
      <w:r>
        <w:rPr>
          <w:rFonts w:hint="cs"/>
          <w:noProof/>
          <w:rtl/>
        </w:rPr>
        <w:t xml:space="preserve"> לי</w:t>
      </w:r>
      <w:r w:rsidR="008E1AD1">
        <w:rPr>
          <w:rFonts w:hint="cs"/>
          <w:noProof/>
          <w:rtl/>
        </w:rPr>
        <w:t>י</w:t>
      </w:r>
      <w:r>
        <w:rPr>
          <w:rFonts w:hint="cs"/>
          <w:noProof/>
          <w:rtl/>
        </w:rPr>
        <w:t>צור חשמל (0.5%</w:t>
      </w:r>
      <w:r w:rsidRPr="00ED4B5C">
        <w:rPr>
          <w:noProof/>
          <w:rtl/>
        </w:rPr>
        <w:t>)</w:t>
      </w:r>
      <w:r w:rsidRPr="00ED4B5C">
        <w:rPr>
          <w:rFonts w:hint="cs"/>
          <w:noProof/>
          <w:rtl/>
        </w:rPr>
        <w:t>,</w:t>
      </w:r>
      <w:r w:rsidRPr="00ED4B5C">
        <w:rPr>
          <w:noProof/>
          <w:rtl/>
        </w:rPr>
        <w:t xml:space="preserve"> יצוא</w:t>
      </w:r>
      <w:r w:rsidR="004A779A">
        <w:rPr>
          <w:rFonts w:hint="cs"/>
          <w:noProof/>
          <w:rtl/>
        </w:rPr>
        <w:t xml:space="preserve"> (36.6%)</w:t>
      </w:r>
      <w:r>
        <w:rPr>
          <w:rFonts w:hint="cs"/>
          <w:noProof/>
          <w:rtl/>
        </w:rPr>
        <w:t xml:space="preserve"> </w:t>
      </w:r>
      <w:r w:rsidRPr="00ED4B5C">
        <w:rPr>
          <w:rFonts w:hint="cs"/>
          <w:noProof/>
          <w:rtl/>
        </w:rPr>
        <w:t xml:space="preserve">ותדלוק </w:t>
      </w:r>
      <w:r w:rsidR="008E1AD1" w:rsidRPr="00ED4B5C">
        <w:rPr>
          <w:rFonts w:hint="cs"/>
          <w:noProof/>
          <w:rtl/>
        </w:rPr>
        <w:t>בין-לאומי</w:t>
      </w:r>
      <w:r w:rsidR="008E1AD1">
        <w:rPr>
          <w:rFonts w:hint="cs"/>
          <w:noProof/>
          <w:rtl/>
        </w:rPr>
        <w:t xml:space="preserve"> של </w:t>
      </w:r>
      <w:r w:rsidRPr="00ED4B5C">
        <w:rPr>
          <w:rFonts w:hint="cs"/>
          <w:noProof/>
          <w:rtl/>
        </w:rPr>
        <w:t xml:space="preserve">אוניות ומטוסים </w:t>
      </w:r>
      <w:r>
        <w:rPr>
          <w:rFonts w:hint="cs"/>
          <w:noProof/>
          <w:rtl/>
        </w:rPr>
        <w:t>(</w:t>
      </w:r>
      <w:r w:rsidR="004A779A">
        <w:rPr>
          <w:rFonts w:hint="cs"/>
          <w:noProof/>
          <w:rtl/>
        </w:rPr>
        <w:t>8.7</w:t>
      </w:r>
      <w:r>
        <w:rPr>
          <w:rFonts w:hint="cs"/>
          <w:noProof/>
          <w:rtl/>
        </w:rPr>
        <w:t>%)</w:t>
      </w:r>
      <w:r w:rsidRPr="00ED4B5C">
        <w:rPr>
          <w:noProof/>
          <w:rtl/>
        </w:rPr>
        <w:t>.</w:t>
      </w:r>
      <w:r w:rsidRPr="00ED4B5C">
        <w:rPr>
          <w:rFonts w:hint="cs"/>
          <w:noProof/>
          <w:rtl/>
        </w:rPr>
        <w:t xml:space="preserve"> </w:t>
      </w:r>
    </w:p>
    <w:p w:rsidR="007B1AC4" w:rsidRPr="000B3F62" w:rsidRDefault="007B1AC4" w:rsidP="000B3F62">
      <w:pPr>
        <w:spacing w:before="240"/>
        <w:jc w:val="center"/>
        <w:rPr>
          <w:b/>
          <w:bCs/>
          <w:noProof/>
          <w:rtl/>
        </w:rPr>
      </w:pPr>
      <w:r w:rsidRPr="002250AE">
        <w:rPr>
          <w:b/>
          <w:bCs/>
          <w:noProof/>
          <w:rtl/>
        </w:rPr>
        <w:t xml:space="preserve">תרשים 5 - מקורות ושימושים למוצרי נפט במשק לפי </w:t>
      </w:r>
      <w:r w:rsidR="00955058" w:rsidRPr="002250AE">
        <w:rPr>
          <w:rFonts w:hint="cs"/>
          <w:b/>
          <w:bCs/>
          <w:noProof/>
          <w:rtl/>
        </w:rPr>
        <w:t>סוג</w:t>
      </w:r>
      <w:r w:rsidRPr="002250AE">
        <w:rPr>
          <w:b/>
          <w:bCs/>
          <w:noProof/>
          <w:rtl/>
        </w:rPr>
        <w:t xml:space="preserve">, </w:t>
      </w:r>
      <w:r w:rsidRPr="002250AE">
        <w:rPr>
          <w:b/>
          <w:bCs/>
          <w:noProof/>
        </w:rPr>
        <w:t>2018</w:t>
      </w:r>
    </w:p>
    <w:p w:rsidR="007B1AC4" w:rsidRDefault="00D86072" w:rsidP="00664B90">
      <w:pPr>
        <w:rPr>
          <w:noProof/>
          <w:rtl/>
        </w:rPr>
      </w:pPr>
      <w:r>
        <w:rPr>
          <w:noProof/>
        </w:rPr>
        <w:drawing>
          <wp:inline distT="0" distB="0" distL="0" distR="0" wp14:anchorId="021A362D" wp14:editId="429D1957">
            <wp:extent cx="2834215" cy="2057400"/>
            <wp:effectExtent l="0" t="0" r="4445" b="0"/>
            <wp:docPr id="11" name="תמונה 11" descr="תרשים 5 - מקורות ושימושים למוצרי נפט במשק לפי סוג, 2018" title="תרשים 5 - מקורות ושימושים למוצרי נפט במשק לפי סוג,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3635" cy="2056979"/>
                    </a:xfrm>
                    <a:prstGeom prst="rect">
                      <a:avLst/>
                    </a:prstGeom>
                    <a:noFill/>
                  </pic:spPr>
                </pic:pic>
              </a:graphicData>
            </a:graphic>
          </wp:inline>
        </w:drawing>
      </w:r>
      <w:r w:rsidR="00703DE4">
        <w:rPr>
          <w:noProof/>
        </w:rPr>
        <w:drawing>
          <wp:inline distT="0" distB="0" distL="0" distR="0" wp14:anchorId="1FE1F2E8" wp14:editId="3A305FA9">
            <wp:extent cx="2939415" cy="2133600"/>
            <wp:effectExtent l="0" t="0" r="0" b="0"/>
            <wp:docPr id="12" name="תמונה 12" descr="תרשים 5 - מקורות ושימושים למוצרי נפט במשק לפי סוג, 2018" title="תרשים 5 - מקורות ושימושים למוצרי נפט במשק לפי סוג,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9415" cy="2133600"/>
                    </a:xfrm>
                    <a:prstGeom prst="rect">
                      <a:avLst/>
                    </a:prstGeom>
                    <a:noFill/>
                  </pic:spPr>
                </pic:pic>
              </a:graphicData>
            </a:graphic>
          </wp:inline>
        </w:drawing>
      </w:r>
    </w:p>
    <w:p w:rsidR="00133170" w:rsidRPr="008E1AD1" w:rsidRDefault="00133170" w:rsidP="006777F5">
      <w:pPr>
        <w:rPr>
          <w:rtl/>
        </w:rPr>
      </w:pPr>
      <w:r w:rsidRPr="008E1AD1">
        <w:rPr>
          <w:rFonts w:hint="cs"/>
          <w:rtl/>
        </w:rPr>
        <w:t>* כ</w:t>
      </w:r>
      <w:r w:rsidR="008E1AD1" w:rsidRPr="008E1AD1">
        <w:rPr>
          <w:rFonts w:hint="cs"/>
          <w:rtl/>
        </w:rPr>
        <w:t>-</w:t>
      </w:r>
      <w:r w:rsidRPr="008E1AD1">
        <w:rPr>
          <w:rFonts w:hint="cs"/>
          <w:rtl/>
        </w:rPr>
        <w:t>99% מהנפט המשמש להפקת מוצרי נפט, מקורו ביבוא</w:t>
      </w:r>
      <w:r w:rsidR="006777F5">
        <w:rPr>
          <w:rFonts w:hint="cs"/>
          <w:rtl/>
        </w:rPr>
        <w:t>.</w:t>
      </w:r>
    </w:p>
    <w:p w:rsidR="000B3F62" w:rsidRDefault="002B5C5C" w:rsidP="000B3F62">
      <w:pPr>
        <w:spacing w:before="240"/>
        <w:rPr>
          <w:bCs/>
          <w:szCs w:val="26"/>
          <w:rtl/>
        </w:rPr>
      </w:pPr>
      <w:r w:rsidRPr="001A7D74">
        <w:rPr>
          <w:rFonts w:hint="cs"/>
          <w:rtl/>
        </w:rPr>
        <w:t>חלקו של היבוא של מוצרי נפט מהצריכה סופית של מוצרי נפט בשנת 2018 עמד על 24.4%, בהמשך למגמת העלייה בארבע השנים האחרונות. בשנים 2016 ו-2017 הוא עמד על 22.3% ו-23.3%, בהתאמה.</w:t>
      </w:r>
      <w:r w:rsidR="000B3F62">
        <w:rPr>
          <w:rtl/>
        </w:rPr>
        <w:br w:type="page"/>
      </w:r>
    </w:p>
    <w:p w:rsidR="005D1CC4" w:rsidRPr="00955058" w:rsidRDefault="00C43E5A" w:rsidP="00703DE4">
      <w:pPr>
        <w:pStyle w:val="2"/>
        <w:rPr>
          <w:rtl/>
        </w:rPr>
      </w:pPr>
      <w:r w:rsidRPr="00955058">
        <w:rPr>
          <w:rFonts w:hint="cs"/>
          <w:rtl/>
        </w:rPr>
        <w:lastRenderedPageBreak/>
        <w:t>פירוט ה</w:t>
      </w:r>
      <w:r w:rsidR="005D1CC4" w:rsidRPr="00955058">
        <w:rPr>
          <w:rFonts w:hint="cs"/>
          <w:rtl/>
        </w:rPr>
        <w:t xml:space="preserve">מקורות למוצרי </w:t>
      </w:r>
      <w:r w:rsidRPr="00955058">
        <w:rPr>
          <w:rFonts w:hint="cs"/>
          <w:rtl/>
        </w:rPr>
        <w:t>ה</w:t>
      </w:r>
      <w:r w:rsidR="005D1CC4" w:rsidRPr="00955058">
        <w:rPr>
          <w:rFonts w:hint="cs"/>
          <w:rtl/>
        </w:rPr>
        <w:t>נפט</w:t>
      </w:r>
    </w:p>
    <w:p w:rsidR="00EB5FBB" w:rsidRPr="00955058" w:rsidRDefault="00337559" w:rsidP="00703DE4">
      <w:pPr>
        <w:pStyle w:val="3"/>
        <w:rPr>
          <w:rtl/>
        </w:rPr>
      </w:pPr>
      <w:r>
        <w:rPr>
          <w:rtl/>
        </w:rPr>
        <w:t>זיקוק נפט גולמי</w:t>
      </w:r>
    </w:p>
    <w:p w:rsidR="009E6E26" w:rsidRPr="00955058" w:rsidRDefault="009143C9" w:rsidP="00955058">
      <w:pPr>
        <w:rPr>
          <w:noProof/>
        </w:rPr>
      </w:pPr>
      <w:r w:rsidRPr="00955058">
        <w:rPr>
          <w:noProof/>
          <w:rtl/>
        </w:rPr>
        <w:t xml:space="preserve">כמות </w:t>
      </w:r>
      <w:r w:rsidR="008F301F" w:rsidRPr="00955058">
        <w:rPr>
          <w:rFonts w:hint="cs"/>
          <w:b/>
          <w:bCs/>
          <w:noProof/>
          <w:rtl/>
        </w:rPr>
        <w:t>מוצרי</w:t>
      </w:r>
      <w:r w:rsidR="005E7FCA" w:rsidRPr="00955058">
        <w:rPr>
          <w:rFonts w:hint="cs"/>
          <w:b/>
          <w:bCs/>
          <w:noProof/>
          <w:rtl/>
        </w:rPr>
        <w:t xml:space="preserve"> הנפט</w:t>
      </w:r>
      <w:r w:rsidR="005E7FCA" w:rsidRPr="00955058">
        <w:rPr>
          <w:rFonts w:hint="cs"/>
          <w:noProof/>
          <w:rtl/>
        </w:rPr>
        <w:t xml:space="preserve"> </w:t>
      </w:r>
      <w:r w:rsidRPr="00955058">
        <w:rPr>
          <w:noProof/>
          <w:rtl/>
        </w:rPr>
        <w:t xml:space="preserve">הכוללת </w:t>
      </w:r>
      <w:r w:rsidR="00020A45" w:rsidRPr="00955058">
        <w:rPr>
          <w:noProof/>
          <w:rtl/>
        </w:rPr>
        <w:t>ש</w:t>
      </w:r>
      <w:r w:rsidR="000C087A" w:rsidRPr="00955058">
        <w:rPr>
          <w:rFonts w:hint="cs"/>
          <w:noProof/>
          <w:rtl/>
        </w:rPr>
        <w:t>יוצרה</w:t>
      </w:r>
      <w:r w:rsidR="00020A45" w:rsidRPr="00955058">
        <w:rPr>
          <w:noProof/>
          <w:rtl/>
        </w:rPr>
        <w:t xml:space="preserve"> </w:t>
      </w:r>
      <w:r w:rsidR="00D6430E" w:rsidRPr="00955058">
        <w:rPr>
          <w:noProof/>
          <w:rtl/>
        </w:rPr>
        <w:t>בישראל</w:t>
      </w:r>
      <w:r w:rsidR="00EF5986">
        <w:rPr>
          <w:rFonts w:hint="cs"/>
          <w:noProof/>
          <w:rtl/>
        </w:rPr>
        <w:t xml:space="preserve"> (בעיקר מנפט גולמי מיובא)</w:t>
      </w:r>
      <w:r w:rsidR="00D6430E" w:rsidRPr="00955058">
        <w:rPr>
          <w:noProof/>
          <w:rtl/>
        </w:rPr>
        <w:t xml:space="preserve"> </w:t>
      </w:r>
      <w:r w:rsidRPr="00955058">
        <w:rPr>
          <w:noProof/>
          <w:rtl/>
        </w:rPr>
        <w:t xml:space="preserve">בשנת </w:t>
      </w:r>
      <w:r w:rsidR="00780AE4" w:rsidRPr="00955058">
        <w:rPr>
          <w:rFonts w:hint="cs"/>
          <w:noProof/>
          <w:rtl/>
        </w:rPr>
        <w:t>201</w:t>
      </w:r>
      <w:r w:rsidR="00ED4B5C" w:rsidRPr="00955058">
        <w:rPr>
          <w:rFonts w:hint="cs"/>
          <w:noProof/>
          <w:rtl/>
        </w:rPr>
        <w:t>8</w:t>
      </w:r>
      <w:r w:rsidR="006101A5" w:rsidRPr="00955058">
        <w:rPr>
          <w:noProof/>
          <w:rtl/>
        </w:rPr>
        <w:t xml:space="preserve"> </w:t>
      </w:r>
      <w:r w:rsidRPr="00955058">
        <w:rPr>
          <w:noProof/>
          <w:rtl/>
        </w:rPr>
        <w:t xml:space="preserve">הסתכמה </w:t>
      </w:r>
      <w:r w:rsidR="004815A7" w:rsidRPr="00955058">
        <w:rPr>
          <w:noProof/>
          <w:rtl/>
        </w:rPr>
        <w:t>ב-</w:t>
      </w:r>
      <w:r w:rsidR="00C47490" w:rsidRPr="00955058">
        <w:rPr>
          <w:rFonts w:hint="cs"/>
          <w:noProof/>
          <w:rtl/>
        </w:rPr>
        <w:t>1</w:t>
      </w:r>
      <w:r w:rsidR="00ED4B5C" w:rsidRPr="00955058">
        <w:rPr>
          <w:rFonts w:hint="cs"/>
          <w:noProof/>
          <w:rtl/>
        </w:rPr>
        <w:t>4</w:t>
      </w:r>
      <w:r w:rsidR="00C47490" w:rsidRPr="00955058">
        <w:rPr>
          <w:rFonts w:hint="cs"/>
          <w:noProof/>
          <w:rtl/>
        </w:rPr>
        <w:t>,</w:t>
      </w:r>
      <w:r w:rsidR="00ED4B5C" w:rsidRPr="00955058">
        <w:rPr>
          <w:rFonts w:hint="cs"/>
          <w:noProof/>
          <w:rtl/>
        </w:rPr>
        <w:t>73</w:t>
      </w:r>
      <w:r w:rsidR="00955058" w:rsidRPr="00955058">
        <w:rPr>
          <w:rFonts w:hint="cs"/>
          <w:noProof/>
          <w:rtl/>
        </w:rPr>
        <w:t>4</w:t>
      </w:r>
      <w:r w:rsidR="00C47490" w:rsidRPr="00955058">
        <w:rPr>
          <w:rFonts w:hint="cs"/>
          <w:noProof/>
          <w:rtl/>
        </w:rPr>
        <w:t xml:space="preserve"> </w:t>
      </w:r>
      <w:r w:rsidR="00916FE1" w:rsidRPr="00955058">
        <w:rPr>
          <w:rFonts w:hint="cs"/>
          <w:noProof/>
          <w:rtl/>
        </w:rPr>
        <w:t xml:space="preserve">אלפי שעט"ן, </w:t>
      </w:r>
      <w:r w:rsidR="00ED4B5C" w:rsidRPr="00955058">
        <w:rPr>
          <w:rFonts w:hint="cs"/>
          <w:noProof/>
          <w:rtl/>
        </w:rPr>
        <w:t>עלייה</w:t>
      </w:r>
      <w:r w:rsidR="00663EB4" w:rsidRPr="00955058">
        <w:rPr>
          <w:rFonts w:hint="cs"/>
          <w:noProof/>
          <w:rtl/>
        </w:rPr>
        <w:t xml:space="preserve"> </w:t>
      </w:r>
      <w:r w:rsidR="002E4A8F" w:rsidRPr="00955058">
        <w:rPr>
          <w:rFonts w:hint="cs"/>
          <w:noProof/>
          <w:rtl/>
        </w:rPr>
        <w:t xml:space="preserve">של </w:t>
      </w:r>
      <w:r w:rsidR="00ED4B5C" w:rsidRPr="00955058">
        <w:rPr>
          <w:rFonts w:hint="cs"/>
          <w:noProof/>
          <w:rtl/>
        </w:rPr>
        <w:t>746</w:t>
      </w:r>
      <w:r w:rsidR="00663EB4" w:rsidRPr="00955058">
        <w:rPr>
          <w:rFonts w:hint="cs"/>
          <w:noProof/>
          <w:rtl/>
        </w:rPr>
        <w:t xml:space="preserve"> אלפי שעט"ן (</w:t>
      </w:r>
      <w:r w:rsidR="00ED4B5C" w:rsidRPr="00955058">
        <w:rPr>
          <w:rFonts w:hint="cs"/>
          <w:noProof/>
          <w:rtl/>
        </w:rPr>
        <w:t>5.3</w:t>
      </w:r>
      <w:r w:rsidR="002E4A8F" w:rsidRPr="00955058">
        <w:rPr>
          <w:rFonts w:hint="cs"/>
          <w:noProof/>
          <w:rtl/>
        </w:rPr>
        <w:t>%</w:t>
      </w:r>
      <w:r w:rsidR="00663EB4" w:rsidRPr="00955058">
        <w:rPr>
          <w:rFonts w:hint="cs"/>
          <w:noProof/>
          <w:rtl/>
        </w:rPr>
        <w:t>)</w:t>
      </w:r>
      <w:r w:rsidR="002E4A8F" w:rsidRPr="00955058">
        <w:rPr>
          <w:rFonts w:hint="cs"/>
          <w:noProof/>
          <w:rtl/>
        </w:rPr>
        <w:t xml:space="preserve"> </w:t>
      </w:r>
      <w:r w:rsidR="00916FE1" w:rsidRPr="00955058">
        <w:rPr>
          <w:rFonts w:hint="cs"/>
          <w:noProof/>
          <w:rtl/>
        </w:rPr>
        <w:t>לעומת</w:t>
      </w:r>
      <w:r w:rsidR="002E4A8F" w:rsidRPr="00955058">
        <w:rPr>
          <w:rFonts w:hint="cs"/>
          <w:noProof/>
          <w:rtl/>
        </w:rPr>
        <w:t xml:space="preserve"> </w:t>
      </w:r>
      <w:r w:rsidR="006777F5">
        <w:rPr>
          <w:rFonts w:hint="cs"/>
          <w:noProof/>
          <w:rtl/>
        </w:rPr>
        <w:t>ה</w:t>
      </w:r>
      <w:r w:rsidR="002E4A8F" w:rsidRPr="00955058">
        <w:rPr>
          <w:rFonts w:hint="cs"/>
          <w:noProof/>
          <w:rtl/>
        </w:rPr>
        <w:t xml:space="preserve">שנה </w:t>
      </w:r>
      <w:r w:rsidR="006777F5">
        <w:rPr>
          <w:rFonts w:hint="cs"/>
          <w:noProof/>
          <w:rtl/>
        </w:rPr>
        <w:t>ה</w:t>
      </w:r>
      <w:r w:rsidR="002E4A8F" w:rsidRPr="00955058">
        <w:rPr>
          <w:rFonts w:hint="cs"/>
          <w:noProof/>
          <w:rtl/>
        </w:rPr>
        <w:t>קודמת</w:t>
      </w:r>
      <w:r w:rsidR="001D347E" w:rsidRPr="00955058">
        <w:rPr>
          <w:rFonts w:hint="cs"/>
          <w:noProof/>
          <w:rtl/>
        </w:rPr>
        <w:t xml:space="preserve"> </w:t>
      </w:r>
      <w:r w:rsidR="002E4A8F" w:rsidRPr="00955058">
        <w:rPr>
          <w:rFonts w:hint="cs"/>
          <w:noProof/>
          <w:rtl/>
        </w:rPr>
        <w:t>(</w:t>
      </w:r>
      <w:r w:rsidR="007E620D" w:rsidRPr="00955058">
        <w:rPr>
          <w:rFonts w:hint="cs"/>
          <w:noProof/>
          <w:rtl/>
        </w:rPr>
        <w:t>13,</w:t>
      </w:r>
      <w:r w:rsidR="00ED4B5C" w:rsidRPr="00955058">
        <w:rPr>
          <w:rFonts w:hint="cs"/>
          <w:noProof/>
          <w:rtl/>
        </w:rPr>
        <w:t>989</w:t>
      </w:r>
      <w:r w:rsidR="00A265E8" w:rsidRPr="00955058">
        <w:rPr>
          <w:noProof/>
          <w:rtl/>
        </w:rPr>
        <w:t xml:space="preserve"> </w:t>
      </w:r>
      <w:r w:rsidR="002E4A8F" w:rsidRPr="00955058">
        <w:rPr>
          <w:noProof/>
          <w:rtl/>
        </w:rPr>
        <w:t>אלפי שעט"ן</w:t>
      </w:r>
      <w:r w:rsidR="004A77AB" w:rsidRPr="00955058">
        <w:rPr>
          <w:rFonts w:hint="cs"/>
          <w:noProof/>
          <w:rtl/>
        </w:rPr>
        <w:t>)</w:t>
      </w:r>
      <w:r w:rsidR="00D41888" w:rsidRPr="00955058">
        <w:rPr>
          <w:rFonts w:hint="cs"/>
          <w:noProof/>
          <w:rtl/>
        </w:rPr>
        <w:t>.</w:t>
      </w:r>
      <w:r w:rsidR="00051E3D" w:rsidRPr="00955058">
        <w:rPr>
          <w:rFonts w:hint="cs"/>
          <w:noProof/>
          <w:rtl/>
        </w:rPr>
        <w:t xml:space="preserve"> </w:t>
      </w:r>
      <w:r w:rsidR="006777F5">
        <w:rPr>
          <w:rFonts w:hint="cs"/>
          <w:noProof/>
          <w:rtl/>
        </w:rPr>
        <w:t>ה</w:t>
      </w:r>
      <w:r w:rsidR="00ED4B5C" w:rsidRPr="00955058">
        <w:rPr>
          <w:rFonts w:hint="cs"/>
          <w:noProof/>
          <w:rtl/>
        </w:rPr>
        <w:t>עלייה</w:t>
      </w:r>
      <w:r w:rsidR="00DB7925" w:rsidRPr="00955058">
        <w:rPr>
          <w:rFonts w:hint="cs"/>
          <w:noProof/>
          <w:rtl/>
        </w:rPr>
        <w:t xml:space="preserve"> ב</w:t>
      </w:r>
      <w:r w:rsidR="00877BDC" w:rsidRPr="00955058">
        <w:rPr>
          <w:rFonts w:hint="cs"/>
          <w:noProof/>
          <w:rtl/>
        </w:rPr>
        <w:t>תפוקת הזיקוק</w:t>
      </w:r>
      <w:r w:rsidR="00A265E8" w:rsidRPr="00955058">
        <w:rPr>
          <w:noProof/>
          <w:rtl/>
        </w:rPr>
        <w:t xml:space="preserve"> </w:t>
      </w:r>
      <w:r w:rsidR="00877BDC" w:rsidRPr="00955058">
        <w:rPr>
          <w:rFonts w:hint="cs"/>
          <w:noProof/>
          <w:rtl/>
        </w:rPr>
        <w:t>ל</w:t>
      </w:r>
      <w:r w:rsidR="00ED4B5C" w:rsidRPr="00955058">
        <w:rPr>
          <w:rFonts w:hint="cs"/>
          <w:noProof/>
          <w:rtl/>
        </w:rPr>
        <w:t xml:space="preserve">קרוסין, </w:t>
      </w:r>
      <w:r w:rsidR="00962490" w:rsidRPr="00955058">
        <w:rPr>
          <w:rFonts w:hint="cs"/>
          <w:noProof/>
          <w:rtl/>
        </w:rPr>
        <w:t>בנזין, גפ"מ וסולר</w:t>
      </w:r>
      <w:r w:rsidR="000C4F84" w:rsidRPr="00955058">
        <w:rPr>
          <w:noProof/>
          <w:rtl/>
        </w:rPr>
        <w:t xml:space="preserve"> </w:t>
      </w:r>
      <w:r w:rsidR="00DB7925" w:rsidRPr="00955058">
        <w:rPr>
          <w:rFonts w:hint="cs"/>
          <w:noProof/>
          <w:rtl/>
        </w:rPr>
        <w:t>היא</w:t>
      </w:r>
      <w:r w:rsidR="00663EB4" w:rsidRPr="00955058">
        <w:rPr>
          <w:rFonts w:hint="cs"/>
          <w:noProof/>
          <w:rtl/>
        </w:rPr>
        <w:t xml:space="preserve"> הגורם העיקרי ל</w:t>
      </w:r>
      <w:r w:rsidR="00962490" w:rsidRPr="00955058">
        <w:rPr>
          <w:rFonts w:hint="cs"/>
          <w:noProof/>
          <w:rtl/>
        </w:rPr>
        <w:t>עלייה</w:t>
      </w:r>
      <w:r w:rsidR="00663EB4" w:rsidRPr="00955058">
        <w:rPr>
          <w:rFonts w:hint="cs"/>
          <w:noProof/>
          <w:rtl/>
        </w:rPr>
        <w:t xml:space="preserve"> </w:t>
      </w:r>
      <w:r w:rsidR="00C43E5A" w:rsidRPr="00955058">
        <w:rPr>
          <w:rFonts w:hint="cs"/>
          <w:noProof/>
          <w:rtl/>
        </w:rPr>
        <w:t>זו</w:t>
      </w:r>
      <w:r w:rsidR="00663EB4" w:rsidRPr="00955058">
        <w:rPr>
          <w:rFonts w:hint="cs"/>
          <w:noProof/>
          <w:rtl/>
        </w:rPr>
        <w:t>. ב</w:t>
      </w:r>
      <w:r w:rsidR="000C087A" w:rsidRPr="00955058">
        <w:rPr>
          <w:rFonts w:hint="cs"/>
          <w:noProof/>
          <w:rtl/>
        </w:rPr>
        <w:t xml:space="preserve">שנת </w:t>
      </w:r>
      <w:r w:rsidR="00A265E8" w:rsidRPr="00955058">
        <w:rPr>
          <w:noProof/>
          <w:rtl/>
        </w:rPr>
        <w:t>201</w:t>
      </w:r>
      <w:r w:rsidR="00962490" w:rsidRPr="00955058">
        <w:rPr>
          <w:rFonts w:hint="cs"/>
          <w:noProof/>
          <w:rtl/>
        </w:rPr>
        <w:t>8</w:t>
      </w:r>
      <w:r w:rsidR="00663EB4" w:rsidRPr="00955058">
        <w:rPr>
          <w:rFonts w:hint="cs"/>
          <w:noProof/>
          <w:rtl/>
        </w:rPr>
        <w:t xml:space="preserve"> תפוקת ה</w:t>
      </w:r>
      <w:r w:rsidR="00DB7925" w:rsidRPr="00955058">
        <w:rPr>
          <w:rFonts w:hint="cs"/>
          <w:noProof/>
          <w:rtl/>
        </w:rPr>
        <w:t>בנזין</w:t>
      </w:r>
      <w:r w:rsidR="00663EB4" w:rsidRPr="00955058">
        <w:rPr>
          <w:rFonts w:hint="cs"/>
          <w:noProof/>
          <w:rtl/>
        </w:rPr>
        <w:t xml:space="preserve"> עמדה על</w:t>
      </w:r>
      <w:r w:rsidR="006F4576" w:rsidRPr="00955058">
        <w:rPr>
          <w:rFonts w:hint="cs"/>
          <w:noProof/>
          <w:rtl/>
        </w:rPr>
        <w:t xml:space="preserve"> </w:t>
      </w:r>
      <w:r w:rsidR="00962490" w:rsidRPr="00955058">
        <w:rPr>
          <w:rFonts w:hint="cs"/>
          <w:noProof/>
          <w:rtl/>
        </w:rPr>
        <w:t>3</w:t>
      </w:r>
      <w:r w:rsidR="00AB12CD" w:rsidRPr="00955058">
        <w:rPr>
          <w:rFonts w:hint="cs"/>
          <w:noProof/>
          <w:rtl/>
        </w:rPr>
        <w:t>,</w:t>
      </w:r>
      <w:r w:rsidR="00962490" w:rsidRPr="00955058">
        <w:rPr>
          <w:rFonts w:hint="cs"/>
          <w:noProof/>
          <w:rtl/>
        </w:rPr>
        <w:t>268</w:t>
      </w:r>
      <w:r w:rsidR="00877BDC" w:rsidRPr="00955058">
        <w:rPr>
          <w:rFonts w:hint="cs"/>
          <w:noProof/>
          <w:rtl/>
        </w:rPr>
        <w:t xml:space="preserve"> </w:t>
      </w:r>
      <w:r w:rsidR="00B94C7C" w:rsidRPr="00955058">
        <w:rPr>
          <w:rFonts w:hint="cs"/>
          <w:noProof/>
          <w:rtl/>
        </w:rPr>
        <w:t xml:space="preserve">אלפי </w:t>
      </w:r>
      <w:r w:rsidR="00877BDC" w:rsidRPr="00955058">
        <w:rPr>
          <w:rFonts w:hint="cs"/>
          <w:noProof/>
          <w:rtl/>
        </w:rPr>
        <w:t>שעט"ן</w:t>
      </w:r>
      <w:r w:rsidR="006777F5">
        <w:rPr>
          <w:rFonts w:hint="cs"/>
          <w:noProof/>
          <w:rtl/>
        </w:rPr>
        <w:t>,</w:t>
      </w:r>
      <w:r w:rsidR="004F7829" w:rsidRPr="00955058">
        <w:rPr>
          <w:rFonts w:hint="cs"/>
          <w:noProof/>
          <w:rtl/>
        </w:rPr>
        <w:t xml:space="preserve"> ו</w:t>
      </w:r>
      <w:r w:rsidR="006F4576" w:rsidRPr="00955058">
        <w:rPr>
          <w:rFonts w:hint="cs"/>
          <w:noProof/>
          <w:rtl/>
        </w:rPr>
        <w:t>ה</w:t>
      </w:r>
      <w:r w:rsidR="004F7829" w:rsidRPr="00955058">
        <w:rPr>
          <w:rFonts w:hint="cs"/>
          <w:noProof/>
          <w:rtl/>
        </w:rPr>
        <w:t xml:space="preserve">יא </w:t>
      </w:r>
      <w:r w:rsidR="006F4576" w:rsidRPr="00955058">
        <w:rPr>
          <w:rFonts w:hint="cs"/>
          <w:noProof/>
          <w:rtl/>
        </w:rPr>
        <w:t xml:space="preserve">מבטאת </w:t>
      </w:r>
      <w:r w:rsidR="00962490" w:rsidRPr="00955058">
        <w:rPr>
          <w:rFonts w:hint="cs"/>
          <w:noProof/>
          <w:rtl/>
        </w:rPr>
        <w:t>עלייה</w:t>
      </w:r>
      <w:r w:rsidR="006F4576" w:rsidRPr="00955058">
        <w:rPr>
          <w:noProof/>
          <w:rtl/>
        </w:rPr>
        <w:t xml:space="preserve"> בשיעור של </w:t>
      </w:r>
      <w:r w:rsidR="00336A02" w:rsidRPr="00955058">
        <w:rPr>
          <w:rFonts w:hint="cs"/>
          <w:noProof/>
          <w:rtl/>
        </w:rPr>
        <w:t>1</w:t>
      </w:r>
      <w:r w:rsidR="00E85D31" w:rsidRPr="00955058">
        <w:rPr>
          <w:rFonts w:hint="cs"/>
          <w:noProof/>
          <w:rtl/>
        </w:rPr>
        <w:t>0</w:t>
      </w:r>
      <w:r w:rsidR="00336A02" w:rsidRPr="00955058">
        <w:rPr>
          <w:rFonts w:hint="cs"/>
          <w:noProof/>
          <w:rtl/>
        </w:rPr>
        <w:t>.</w:t>
      </w:r>
      <w:r w:rsidR="00962490" w:rsidRPr="00955058">
        <w:rPr>
          <w:rFonts w:hint="cs"/>
          <w:noProof/>
          <w:rtl/>
        </w:rPr>
        <w:t>4</w:t>
      </w:r>
      <w:r w:rsidR="006F4576" w:rsidRPr="00955058">
        <w:rPr>
          <w:noProof/>
          <w:rtl/>
        </w:rPr>
        <w:t>%</w:t>
      </w:r>
      <w:r w:rsidR="006F4576" w:rsidRPr="00955058">
        <w:rPr>
          <w:rFonts w:hint="cs"/>
          <w:noProof/>
          <w:rtl/>
        </w:rPr>
        <w:t xml:space="preserve"> </w:t>
      </w:r>
      <w:r w:rsidR="006F4576" w:rsidRPr="00955058">
        <w:rPr>
          <w:noProof/>
          <w:rtl/>
        </w:rPr>
        <w:t xml:space="preserve">לעומת </w:t>
      </w:r>
      <w:r w:rsidR="006777F5">
        <w:rPr>
          <w:rFonts w:hint="cs"/>
          <w:noProof/>
          <w:rtl/>
        </w:rPr>
        <w:t>ה</w:t>
      </w:r>
      <w:r w:rsidR="006F4576" w:rsidRPr="00955058">
        <w:rPr>
          <w:noProof/>
          <w:rtl/>
        </w:rPr>
        <w:t xml:space="preserve">שנה </w:t>
      </w:r>
      <w:r w:rsidR="006777F5">
        <w:rPr>
          <w:rFonts w:hint="cs"/>
          <w:noProof/>
          <w:rtl/>
        </w:rPr>
        <w:t>ה</w:t>
      </w:r>
      <w:r w:rsidR="006F4576" w:rsidRPr="00955058">
        <w:rPr>
          <w:noProof/>
          <w:rtl/>
        </w:rPr>
        <w:t>קודמת</w:t>
      </w:r>
      <w:r w:rsidR="006F4576" w:rsidRPr="00955058">
        <w:rPr>
          <w:rFonts w:hint="cs"/>
          <w:noProof/>
          <w:rtl/>
        </w:rPr>
        <w:t xml:space="preserve"> (</w:t>
      </w:r>
      <w:r w:rsidR="00962490" w:rsidRPr="00955058">
        <w:rPr>
          <w:rFonts w:hint="cs"/>
          <w:noProof/>
          <w:rtl/>
        </w:rPr>
        <w:t>2</w:t>
      </w:r>
      <w:r w:rsidR="003868F6" w:rsidRPr="00955058">
        <w:rPr>
          <w:noProof/>
          <w:rtl/>
        </w:rPr>
        <w:t>,</w:t>
      </w:r>
      <w:r w:rsidR="00962490" w:rsidRPr="00955058">
        <w:rPr>
          <w:rFonts w:hint="cs"/>
          <w:noProof/>
          <w:rtl/>
        </w:rPr>
        <w:t>959</w:t>
      </w:r>
      <w:r w:rsidR="00B94C7C" w:rsidRPr="00955058">
        <w:rPr>
          <w:rFonts w:hint="cs"/>
          <w:noProof/>
          <w:rtl/>
        </w:rPr>
        <w:t xml:space="preserve"> אלפי</w:t>
      </w:r>
      <w:r w:rsidR="001D347E" w:rsidRPr="00955058">
        <w:rPr>
          <w:rFonts w:hint="cs"/>
          <w:noProof/>
          <w:rtl/>
        </w:rPr>
        <w:t xml:space="preserve"> </w:t>
      </w:r>
      <w:r w:rsidR="00A265E8" w:rsidRPr="00955058">
        <w:rPr>
          <w:noProof/>
          <w:rtl/>
        </w:rPr>
        <w:t>שעט"ן</w:t>
      </w:r>
      <w:r w:rsidR="006F4576" w:rsidRPr="00955058">
        <w:rPr>
          <w:rFonts w:hint="cs"/>
          <w:noProof/>
          <w:rtl/>
        </w:rPr>
        <w:t>)</w:t>
      </w:r>
      <w:r w:rsidR="003868F6" w:rsidRPr="00955058">
        <w:rPr>
          <w:rFonts w:hint="cs"/>
          <w:noProof/>
          <w:rtl/>
        </w:rPr>
        <w:t xml:space="preserve">. </w:t>
      </w:r>
    </w:p>
    <w:p w:rsidR="003F7C76" w:rsidRPr="00955058" w:rsidRDefault="00890047" w:rsidP="00F5150E">
      <w:pPr>
        <w:pStyle w:val="aa"/>
        <w:rPr>
          <w:rStyle w:val="afa"/>
          <w:rFonts w:cs="Arial"/>
          <w:bCs/>
          <w:rtl/>
        </w:rPr>
      </w:pPr>
      <w:r w:rsidRPr="00955058">
        <w:rPr>
          <w:rStyle w:val="afa"/>
          <w:rFonts w:cs="Arial"/>
          <w:bCs/>
          <w:rtl/>
        </w:rPr>
        <w:t>לוח</w:t>
      </w:r>
      <w:r w:rsidR="001D347E" w:rsidRPr="00955058">
        <w:rPr>
          <w:rStyle w:val="afa"/>
          <w:rFonts w:cs="Arial"/>
          <w:bCs/>
          <w:rtl/>
        </w:rPr>
        <w:t xml:space="preserve"> </w:t>
      </w:r>
      <w:r w:rsidR="000237D8" w:rsidRPr="00955058">
        <w:rPr>
          <w:rStyle w:val="afa"/>
          <w:rFonts w:cs="Arial" w:hint="cs"/>
          <w:bCs/>
          <w:rtl/>
        </w:rPr>
        <w:t>ב</w:t>
      </w:r>
      <w:r w:rsidR="00901A7D" w:rsidRPr="00955058">
        <w:rPr>
          <w:rStyle w:val="afa"/>
          <w:rFonts w:cs="Arial" w:hint="cs"/>
          <w:bCs/>
          <w:rtl/>
        </w:rPr>
        <w:t xml:space="preserve"> -</w:t>
      </w:r>
      <w:r w:rsidRPr="00955058">
        <w:rPr>
          <w:rStyle w:val="afa"/>
          <w:rFonts w:cs="Arial"/>
          <w:bCs/>
          <w:rtl/>
        </w:rPr>
        <w:t xml:space="preserve"> </w:t>
      </w:r>
      <w:r w:rsidR="008F301F" w:rsidRPr="00955058">
        <w:rPr>
          <w:rStyle w:val="afa"/>
          <w:rFonts w:cs="Arial" w:hint="cs"/>
          <w:bCs/>
          <w:rtl/>
        </w:rPr>
        <w:t>מוצרי</w:t>
      </w:r>
      <w:r w:rsidR="005E7FCA" w:rsidRPr="00955058">
        <w:rPr>
          <w:rStyle w:val="afa"/>
          <w:rFonts w:cs="Arial" w:hint="cs"/>
          <w:bCs/>
          <w:rtl/>
        </w:rPr>
        <w:t xml:space="preserve"> נפט, תפוקת זיקוק</w:t>
      </w:r>
      <w:r w:rsidR="000237D8" w:rsidRPr="00955058">
        <w:rPr>
          <w:rStyle w:val="afa"/>
          <w:rFonts w:cs="Arial" w:hint="cs"/>
          <w:bCs/>
          <w:rtl/>
        </w:rPr>
        <w:t xml:space="preserve"> נפט </w:t>
      </w:r>
      <w:r w:rsidR="005E7FCA" w:rsidRPr="00955058">
        <w:rPr>
          <w:rStyle w:val="afa"/>
          <w:rFonts w:cs="Arial" w:hint="cs"/>
          <w:bCs/>
          <w:rtl/>
        </w:rPr>
        <w:t xml:space="preserve">גולמי </w:t>
      </w:r>
      <w:r w:rsidR="003F7C76" w:rsidRPr="00955058">
        <w:rPr>
          <w:rStyle w:val="afa"/>
          <w:rFonts w:cs="Arial"/>
          <w:bCs/>
          <w:rtl/>
        </w:rPr>
        <w:t>(</w:t>
      </w:r>
      <w:r w:rsidR="00E33A56" w:rsidRPr="00955058">
        <w:rPr>
          <w:rStyle w:val="afa"/>
          <w:rFonts w:cs="Arial"/>
          <w:bCs/>
          <w:rtl/>
        </w:rPr>
        <w:t xml:space="preserve">אלפי </w:t>
      </w:r>
      <w:proofErr w:type="spellStart"/>
      <w:r w:rsidR="003F7C76" w:rsidRPr="00955058">
        <w:rPr>
          <w:rStyle w:val="afa"/>
          <w:rFonts w:cs="Arial"/>
          <w:bCs/>
          <w:rtl/>
        </w:rPr>
        <w:t>שעט"ן</w:t>
      </w:r>
      <w:proofErr w:type="spellEnd"/>
      <w:r w:rsidR="003F7C76" w:rsidRPr="00955058">
        <w:rPr>
          <w:rStyle w:val="afa"/>
          <w:rFonts w:cs="Arial"/>
          <w:bCs/>
          <w:rtl/>
        </w:rPr>
        <w:t>)</w:t>
      </w:r>
    </w:p>
    <w:tbl>
      <w:tblPr>
        <w:bidiVisual/>
        <w:tblW w:w="10087" w:type="dxa"/>
        <w:jc w:val="center"/>
        <w:tblInd w:w="4"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Caption w:val="לוח ב - מוצרי נפט, תפוקת זיקוק נפט גולמי (אלפי שעט&quot;ן)"/>
        <w:tblDescription w:val="לוח ב - מוצרי נפט, תפוקת זיקוק נפט גולמי (אלפי שעט&quot;ן)"/>
      </w:tblPr>
      <w:tblGrid>
        <w:gridCol w:w="2664"/>
        <w:gridCol w:w="1129"/>
        <w:gridCol w:w="1130"/>
        <w:gridCol w:w="1130"/>
        <w:gridCol w:w="1127"/>
        <w:gridCol w:w="1147"/>
        <w:gridCol w:w="1760"/>
      </w:tblGrid>
      <w:tr w:rsidR="002C5648" w:rsidRPr="00955058" w:rsidTr="005C64DC">
        <w:trPr>
          <w:trHeight w:val="584"/>
          <w:tblHeader/>
          <w:jc w:val="center"/>
        </w:trPr>
        <w:tc>
          <w:tcPr>
            <w:tcW w:w="2664" w:type="dxa"/>
            <w:tcBorders>
              <w:top w:val="double" w:sz="6" w:space="0" w:color="auto"/>
              <w:left w:val="single" w:sz="4" w:space="0" w:color="auto"/>
              <w:bottom w:val="single" w:sz="4" w:space="0" w:color="auto"/>
              <w:right w:val="single" w:sz="4" w:space="0" w:color="auto"/>
            </w:tcBorders>
            <w:noWrap/>
            <w:vAlign w:val="center"/>
          </w:tcPr>
          <w:p w:rsidR="00471D5E" w:rsidRPr="00955058" w:rsidRDefault="00471D5E" w:rsidP="009B0B35">
            <w:pPr>
              <w:pStyle w:val="a0"/>
              <w:rPr>
                <w:sz w:val="24"/>
              </w:rPr>
            </w:pPr>
            <w:r w:rsidRPr="00955058">
              <w:rPr>
                <w:rFonts w:hint="cs"/>
                <w:sz w:val="24"/>
                <w:rtl/>
              </w:rPr>
              <w:t>ייצור מוצרי נפט</w:t>
            </w:r>
          </w:p>
        </w:tc>
        <w:tc>
          <w:tcPr>
            <w:tcW w:w="1129"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9B0B35">
            <w:pPr>
              <w:pStyle w:val="a0"/>
              <w:ind w:left="227"/>
              <w:rPr>
                <w:sz w:val="24"/>
              </w:rPr>
            </w:pPr>
            <w:r w:rsidRPr="00955058">
              <w:rPr>
                <w:sz w:val="24"/>
              </w:rPr>
              <w:t>2014</w:t>
            </w:r>
          </w:p>
        </w:tc>
        <w:tc>
          <w:tcPr>
            <w:tcW w:w="1130"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9B0B35">
            <w:pPr>
              <w:pStyle w:val="a0"/>
              <w:ind w:left="227"/>
              <w:rPr>
                <w:sz w:val="24"/>
              </w:rPr>
            </w:pPr>
            <w:r w:rsidRPr="00955058">
              <w:rPr>
                <w:sz w:val="24"/>
              </w:rPr>
              <w:t>2015</w:t>
            </w:r>
          </w:p>
        </w:tc>
        <w:tc>
          <w:tcPr>
            <w:tcW w:w="1130"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9B0B35">
            <w:pPr>
              <w:pStyle w:val="a0"/>
              <w:ind w:left="227"/>
              <w:rPr>
                <w:sz w:val="24"/>
              </w:rPr>
            </w:pPr>
            <w:r w:rsidRPr="00955058">
              <w:rPr>
                <w:sz w:val="24"/>
              </w:rPr>
              <w:t>2016</w:t>
            </w:r>
          </w:p>
        </w:tc>
        <w:tc>
          <w:tcPr>
            <w:tcW w:w="1127"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471D5E">
            <w:pPr>
              <w:pStyle w:val="a0"/>
              <w:ind w:left="227"/>
              <w:jc w:val="center"/>
              <w:rPr>
                <w:sz w:val="24"/>
                <w:rtl/>
              </w:rPr>
            </w:pPr>
            <w:r w:rsidRPr="00955058">
              <w:rPr>
                <w:rFonts w:hint="cs"/>
                <w:sz w:val="24"/>
                <w:rtl/>
              </w:rPr>
              <w:t>2017</w:t>
            </w:r>
          </w:p>
        </w:tc>
        <w:tc>
          <w:tcPr>
            <w:tcW w:w="1147"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471D5E">
            <w:pPr>
              <w:pStyle w:val="a0"/>
              <w:ind w:left="227"/>
              <w:rPr>
                <w:sz w:val="24"/>
                <w:rtl/>
              </w:rPr>
            </w:pPr>
            <w:r w:rsidRPr="00955058">
              <w:rPr>
                <w:rFonts w:hint="cs"/>
                <w:sz w:val="24"/>
                <w:rtl/>
              </w:rPr>
              <w:t>2018</w:t>
            </w:r>
          </w:p>
        </w:tc>
        <w:tc>
          <w:tcPr>
            <w:tcW w:w="1760" w:type="dxa"/>
            <w:tcBorders>
              <w:top w:val="double" w:sz="6" w:space="0" w:color="auto"/>
              <w:left w:val="single" w:sz="4" w:space="0" w:color="auto"/>
              <w:bottom w:val="single" w:sz="4" w:space="0" w:color="auto"/>
              <w:right w:val="single" w:sz="4" w:space="0" w:color="auto"/>
            </w:tcBorders>
            <w:vAlign w:val="center"/>
          </w:tcPr>
          <w:p w:rsidR="00471D5E" w:rsidRPr="00955058" w:rsidRDefault="00471D5E" w:rsidP="009B0B35">
            <w:pPr>
              <w:spacing w:line="360" w:lineRule="auto"/>
              <w:ind w:left="227"/>
              <w:rPr>
                <w:b/>
                <w:bCs/>
                <w:rtl/>
              </w:rPr>
            </w:pPr>
            <w:r w:rsidRPr="00955058">
              <w:rPr>
                <w:b/>
                <w:bCs/>
                <w:rtl/>
              </w:rPr>
              <w:t xml:space="preserve">אחוז שינוי </w:t>
            </w:r>
          </w:p>
          <w:p w:rsidR="00471D5E" w:rsidRPr="00955058" w:rsidRDefault="00471D5E" w:rsidP="00471D5E">
            <w:pPr>
              <w:spacing w:line="360" w:lineRule="auto"/>
              <w:ind w:left="227"/>
              <w:rPr>
                <w:rtl/>
              </w:rPr>
            </w:pPr>
            <w:r w:rsidRPr="00955058">
              <w:rPr>
                <w:b/>
                <w:bCs/>
                <w:rtl/>
              </w:rPr>
              <w:t>20</w:t>
            </w:r>
            <w:r w:rsidRPr="00955058">
              <w:rPr>
                <w:rFonts w:hint="cs"/>
                <w:b/>
                <w:bCs/>
                <w:rtl/>
              </w:rPr>
              <w:t>18</w:t>
            </w:r>
            <w:r w:rsidRPr="00955058">
              <w:rPr>
                <w:b/>
                <w:bCs/>
                <w:rtl/>
              </w:rPr>
              <w:t xml:space="preserve"> לעומת 201</w:t>
            </w:r>
            <w:r w:rsidRPr="00955058">
              <w:rPr>
                <w:rFonts w:hint="cs"/>
                <w:b/>
                <w:bCs/>
                <w:rtl/>
              </w:rPr>
              <w:t>7</w:t>
            </w:r>
          </w:p>
        </w:tc>
      </w:tr>
      <w:tr w:rsidR="005C64DC" w:rsidRPr="00955058" w:rsidTr="00AD5643">
        <w:trPr>
          <w:trHeight w:val="373"/>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Pr>
            </w:pPr>
            <w:r w:rsidRPr="00955058">
              <w:rPr>
                <w:rFonts w:hint="cs"/>
                <w:sz w:val="24"/>
                <w:rtl/>
              </w:rPr>
              <w:t xml:space="preserve">מוצרי נפט </w:t>
            </w:r>
            <w:r w:rsidRPr="00955058">
              <w:rPr>
                <w:sz w:val="24"/>
                <w:rtl/>
              </w:rPr>
              <w:t>- סך הכל</w:t>
            </w:r>
          </w:p>
        </w:tc>
        <w:tc>
          <w:tcPr>
            <w:tcW w:w="1129" w:type="dxa"/>
            <w:tcBorders>
              <w:top w:val="nil"/>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14,768.2</w:t>
            </w:r>
          </w:p>
        </w:tc>
        <w:tc>
          <w:tcPr>
            <w:tcW w:w="1130" w:type="dxa"/>
            <w:tcBorders>
              <w:top w:val="nil"/>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14,680.7</w:t>
            </w:r>
          </w:p>
        </w:tc>
        <w:tc>
          <w:tcPr>
            <w:tcW w:w="1130" w:type="dxa"/>
            <w:tcBorders>
              <w:top w:val="nil"/>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14,024.6</w:t>
            </w:r>
          </w:p>
        </w:tc>
        <w:tc>
          <w:tcPr>
            <w:tcW w:w="1127" w:type="dxa"/>
            <w:tcBorders>
              <w:top w:val="nil"/>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13,988.9</w:t>
            </w:r>
          </w:p>
        </w:tc>
        <w:tc>
          <w:tcPr>
            <w:tcW w:w="1147" w:type="dxa"/>
            <w:tcBorders>
              <w:top w:val="nil"/>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14,734.5</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rPr>
                <w:b/>
                <w:bCs/>
              </w:rPr>
            </w:pPr>
            <w:r w:rsidRPr="00955058">
              <w:rPr>
                <w:b/>
                <w:bCs/>
              </w:rPr>
              <w:t>5.3%</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tl/>
              </w:rPr>
            </w:pPr>
            <w:r w:rsidRPr="00955058">
              <w:rPr>
                <w:sz w:val="24"/>
                <w:rtl/>
              </w:rPr>
              <w:t xml:space="preserve">סולר </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5,570.7</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5,368.2</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4,563.7</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4,789.1</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4,955.5</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3.5%</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tl/>
              </w:rPr>
            </w:pPr>
            <w:r w:rsidRPr="00955058">
              <w:rPr>
                <w:sz w:val="24"/>
                <w:rtl/>
              </w:rPr>
              <w:t>בנזין</w:t>
            </w:r>
            <w:r w:rsidRPr="00955058">
              <w:rPr>
                <w:rFonts w:hint="cs"/>
                <w:sz w:val="24"/>
                <w:rtl/>
              </w:rPr>
              <w:t xml:space="preserve"> לרכב</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3,163.7</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3,184.2</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3,150.2</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2,959.0</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3,267.9</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10.4%</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tl/>
              </w:rPr>
            </w:pPr>
            <w:r w:rsidRPr="00955058">
              <w:rPr>
                <w:sz w:val="24"/>
                <w:rtl/>
              </w:rPr>
              <w:t>מזוט</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2,337.6</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2,599.6</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2,605.9</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2,559.8</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2,472.4</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-3.4%</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tl/>
              </w:rPr>
            </w:pPr>
            <w:r w:rsidRPr="00955058">
              <w:rPr>
                <w:sz w:val="24"/>
                <w:rtl/>
              </w:rPr>
              <w:t>קרוסין</w:t>
            </w:r>
            <w:r w:rsidRPr="00955058">
              <w:rPr>
                <w:rFonts w:hint="cs"/>
                <w:sz w:val="24"/>
                <w:rtl/>
              </w:rPr>
              <w:t xml:space="preserve"> ודלק סילוני</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1,241.9</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1,205.0</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1,300.6</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1,204.8</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1,415.8</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17.5%</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Pr>
            </w:pPr>
            <w:r w:rsidRPr="00955058">
              <w:rPr>
                <w:sz w:val="24"/>
                <w:rtl/>
              </w:rPr>
              <w:t>נפטא</w:t>
            </w:r>
            <w:r w:rsidRPr="00955058">
              <w:rPr>
                <w:rFonts w:hint="cs"/>
                <w:sz w:val="24"/>
                <w:rtl/>
              </w:rPr>
              <w:t xml:space="preserve"> (ובנזין תעשיית</w:t>
            </w:r>
            <w:r w:rsidRPr="00955058">
              <w:rPr>
                <w:rFonts w:hint="eastAsia"/>
                <w:sz w:val="24"/>
                <w:rtl/>
              </w:rPr>
              <w:t>י</w:t>
            </w:r>
            <w:r w:rsidRPr="00955058">
              <w:rPr>
                <w:rFonts w:hint="cs"/>
                <w:sz w:val="24"/>
                <w:rtl/>
              </w:rPr>
              <w:t>)</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1,365.4</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1,275.3</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1,173.9</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1,288.4</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1,237.2</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-4.0%</w:t>
            </w:r>
          </w:p>
        </w:tc>
      </w:tr>
      <w:tr w:rsidR="005C64DC" w:rsidRPr="00955058" w:rsidTr="00AD5643">
        <w:trPr>
          <w:trHeight w:val="255"/>
          <w:jc w:val="center"/>
        </w:trPr>
        <w:tc>
          <w:tcPr>
            <w:tcW w:w="2664" w:type="dxa"/>
            <w:tcBorders>
              <w:top w:val="single" w:sz="4" w:space="0" w:color="auto"/>
              <w:left w:val="single" w:sz="4" w:space="0" w:color="auto"/>
              <w:bottom w:val="single" w:sz="4" w:space="0" w:color="auto"/>
              <w:right w:val="single" w:sz="4" w:space="0" w:color="auto"/>
            </w:tcBorders>
            <w:noWrap/>
            <w:vAlign w:val="center"/>
          </w:tcPr>
          <w:p w:rsidR="005C64DC" w:rsidRPr="00955058" w:rsidRDefault="005C64DC" w:rsidP="009B0B35">
            <w:pPr>
              <w:pStyle w:val="a0"/>
              <w:rPr>
                <w:sz w:val="24"/>
              </w:rPr>
            </w:pPr>
            <w:r w:rsidRPr="00955058">
              <w:rPr>
                <w:sz w:val="24"/>
                <w:rtl/>
              </w:rPr>
              <w:t>גפ"מ</w:t>
            </w:r>
          </w:p>
        </w:tc>
        <w:tc>
          <w:tcPr>
            <w:tcW w:w="1129"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493.2</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430.5</w:t>
            </w:r>
          </w:p>
        </w:tc>
        <w:tc>
          <w:tcPr>
            <w:tcW w:w="113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399.5</w:t>
            </w:r>
          </w:p>
        </w:tc>
        <w:tc>
          <w:tcPr>
            <w:tcW w:w="112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409.2</w:t>
            </w:r>
          </w:p>
        </w:tc>
        <w:tc>
          <w:tcPr>
            <w:tcW w:w="1147"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476.8</w:t>
            </w:r>
          </w:p>
        </w:tc>
        <w:tc>
          <w:tcPr>
            <w:tcW w:w="1760" w:type="dxa"/>
            <w:tcBorders>
              <w:top w:val="single" w:sz="4" w:space="0" w:color="auto"/>
              <w:left w:val="single" w:sz="4" w:space="0" w:color="auto"/>
              <w:bottom w:val="single" w:sz="4" w:space="0" w:color="auto"/>
              <w:right w:val="single" w:sz="4" w:space="0" w:color="auto"/>
            </w:tcBorders>
            <w:vAlign w:val="center"/>
          </w:tcPr>
          <w:p w:rsidR="005C64DC" w:rsidRPr="00955058" w:rsidRDefault="005C64DC" w:rsidP="00AD5643">
            <w:pPr>
              <w:jc w:val="center"/>
            </w:pPr>
            <w:r w:rsidRPr="00955058">
              <w:t>16.5%</w:t>
            </w:r>
          </w:p>
        </w:tc>
      </w:tr>
      <w:tr w:rsidR="005C64DC" w:rsidRPr="00955058" w:rsidTr="00AD5643">
        <w:trPr>
          <w:trHeight w:val="255"/>
          <w:jc w:val="center"/>
        </w:trPr>
        <w:tc>
          <w:tcPr>
            <w:tcW w:w="2664" w:type="dxa"/>
            <w:tcBorders>
              <w:top w:val="single" w:sz="4" w:space="0" w:color="auto"/>
              <w:left w:val="single" w:sz="4" w:space="0" w:color="auto"/>
              <w:bottom w:val="double" w:sz="6" w:space="0" w:color="auto"/>
              <w:right w:val="single" w:sz="4" w:space="0" w:color="auto"/>
            </w:tcBorders>
            <w:noWrap/>
            <w:vAlign w:val="center"/>
          </w:tcPr>
          <w:p w:rsidR="005C64DC" w:rsidRPr="00955058" w:rsidRDefault="005C64DC" w:rsidP="009B0B35">
            <w:pPr>
              <w:pStyle w:val="a0"/>
              <w:rPr>
                <w:sz w:val="24"/>
                <w:rtl/>
              </w:rPr>
            </w:pPr>
            <w:r w:rsidRPr="00955058">
              <w:rPr>
                <w:sz w:val="24"/>
                <w:rtl/>
              </w:rPr>
              <w:t>מוצרי נפט אחרים</w:t>
            </w:r>
          </w:p>
        </w:tc>
        <w:tc>
          <w:tcPr>
            <w:tcW w:w="1129"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595.7</w:t>
            </w:r>
          </w:p>
        </w:tc>
        <w:tc>
          <w:tcPr>
            <w:tcW w:w="1130"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617.9</w:t>
            </w:r>
          </w:p>
        </w:tc>
        <w:tc>
          <w:tcPr>
            <w:tcW w:w="1130"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830.9</w:t>
            </w:r>
          </w:p>
        </w:tc>
        <w:tc>
          <w:tcPr>
            <w:tcW w:w="1127"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778.7</w:t>
            </w:r>
          </w:p>
        </w:tc>
        <w:tc>
          <w:tcPr>
            <w:tcW w:w="1147"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909.0</w:t>
            </w:r>
          </w:p>
        </w:tc>
        <w:tc>
          <w:tcPr>
            <w:tcW w:w="1760" w:type="dxa"/>
            <w:tcBorders>
              <w:top w:val="single" w:sz="4" w:space="0" w:color="auto"/>
              <w:left w:val="single" w:sz="4" w:space="0" w:color="auto"/>
              <w:bottom w:val="double" w:sz="6" w:space="0" w:color="auto"/>
              <w:right w:val="single" w:sz="4" w:space="0" w:color="auto"/>
            </w:tcBorders>
            <w:vAlign w:val="center"/>
          </w:tcPr>
          <w:p w:rsidR="005C64DC" w:rsidRPr="00955058" w:rsidRDefault="005C64DC" w:rsidP="00AD5643">
            <w:pPr>
              <w:jc w:val="center"/>
            </w:pPr>
            <w:r w:rsidRPr="00955058">
              <w:t>16.7%</w:t>
            </w:r>
          </w:p>
        </w:tc>
      </w:tr>
    </w:tbl>
    <w:p w:rsidR="0084651B" w:rsidRDefault="0084651B">
      <w:pPr>
        <w:bidi w:val="0"/>
        <w:spacing w:line="240" w:lineRule="auto"/>
        <w:ind w:left="0" w:right="0"/>
        <w:rPr>
          <w:bCs/>
          <w:szCs w:val="26"/>
        </w:rPr>
      </w:pPr>
      <w:r>
        <w:rPr>
          <w:rtl/>
        </w:rPr>
        <w:br w:type="page"/>
      </w:r>
    </w:p>
    <w:p w:rsidR="001F63FC" w:rsidRPr="00703DE4" w:rsidRDefault="001F63FC" w:rsidP="00703DE4">
      <w:pPr>
        <w:pStyle w:val="3"/>
        <w:rPr>
          <w:rtl/>
        </w:rPr>
      </w:pPr>
      <w:r w:rsidRPr="00703DE4">
        <w:rPr>
          <w:rtl/>
        </w:rPr>
        <w:lastRenderedPageBreak/>
        <w:t xml:space="preserve">יבוא </w:t>
      </w:r>
      <w:r w:rsidR="008F301F" w:rsidRPr="00703DE4">
        <w:rPr>
          <w:rFonts w:hint="cs"/>
          <w:rtl/>
        </w:rPr>
        <w:t>מוצרי</w:t>
      </w:r>
      <w:r w:rsidRPr="00703DE4">
        <w:rPr>
          <w:rtl/>
        </w:rPr>
        <w:t xml:space="preserve"> נפט</w:t>
      </w:r>
    </w:p>
    <w:p w:rsidR="00172F6F" w:rsidRPr="001F24FA" w:rsidRDefault="00791D2C" w:rsidP="006777F5">
      <w:pPr>
        <w:rPr>
          <w:noProof/>
        </w:rPr>
      </w:pPr>
      <w:r w:rsidRPr="001F24FA">
        <w:rPr>
          <w:rFonts w:hint="cs"/>
          <w:noProof/>
          <w:rtl/>
        </w:rPr>
        <w:t>בשנת 201</w:t>
      </w:r>
      <w:r w:rsidR="00962490" w:rsidRPr="001F24FA">
        <w:rPr>
          <w:rFonts w:hint="cs"/>
          <w:noProof/>
          <w:rtl/>
        </w:rPr>
        <w:t>8</w:t>
      </w:r>
      <w:r w:rsidRPr="001F24FA">
        <w:rPr>
          <w:rFonts w:hint="cs"/>
          <w:noProof/>
          <w:rtl/>
        </w:rPr>
        <w:t xml:space="preserve"> חלה </w:t>
      </w:r>
      <w:r w:rsidR="006E1E33" w:rsidRPr="001F24FA">
        <w:rPr>
          <w:rFonts w:hint="cs"/>
          <w:noProof/>
          <w:rtl/>
        </w:rPr>
        <w:t>עלייה</w:t>
      </w:r>
      <w:r w:rsidRPr="001F24FA">
        <w:rPr>
          <w:rFonts w:hint="cs"/>
          <w:noProof/>
          <w:rtl/>
        </w:rPr>
        <w:t xml:space="preserve"> בשיעור של </w:t>
      </w:r>
      <w:r w:rsidR="00122E76" w:rsidRPr="001F24FA">
        <w:rPr>
          <w:rFonts w:hint="cs"/>
          <w:noProof/>
          <w:rtl/>
        </w:rPr>
        <w:t>5</w:t>
      </w:r>
      <w:r w:rsidR="00144538" w:rsidRPr="001F24FA">
        <w:rPr>
          <w:rFonts w:hint="cs"/>
          <w:noProof/>
          <w:rtl/>
        </w:rPr>
        <w:t>.</w:t>
      </w:r>
      <w:r w:rsidR="00122E76" w:rsidRPr="001F24FA">
        <w:rPr>
          <w:rFonts w:hint="cs"/>
          <w:noProof/>
          <w:rtl/>
        </w:rPr>
        <w:t>4</w:t>
      </w:r>
      <w:r w:rsidRPr="001F24FA">
        <w:rPr>
          <w:rFonts w:hint="cs"/>
          <w:noProof/>
          <w:rtl/>
        </w:rPr>
        <w:t>% ביבוא</w:t>
      </w:r>
      <w:r w:rsidR="006777F5">
        <w:rPr>
          <w:rFonts w:hint="cs"/>
          <w:noProof/>
          <w:rtl/>
        </w:rPr>
        <w:t>,</w:t>
      </w:r>
      <w:r w:rsidRPr="001F24FA">
        <w:rPr>
          <w:rFonts w:hint="cs"/>
          <w:noProof/>
          <w:rtl/>
        </w:rPr>
        <w:t xml:space="preserve"> </w:t>
      </w:r>
      <w:r w:rsidR="006777F5">
        <w:rPr>
          <w:rFonts w:hint="cs"/>
          <w:noProof/>
          <w:rtl/>
        </w:rPr>
        <w:t>והוא</w:t>
      </w:r>
      <w:r w:rsidRPr="001F24FA">
        <w:rPr>
          <w:rFonts w:hint="cs"/>
          <w:noProof/>
          <w:rtl/>
        </w:rPr>
        <w:t xml:space="preserve"> </w:t>
      </w:r>
      <w:r w:rsidR="001F63FC" w:rsidRPr="001F24FA">
        <w:rPr>
          <w:noProof/>
          <w:rtl/>
        </w:rPr>
        <w:t>הסתכם ב-</w:t>
      </w:r>
      <w:r w:rsidR="000C09E2" w:rsidRPr="001F24FA">
        <w:rPr>
          <w:rFonts w:hint="cs"/>
          <w:noProof/>
          <w:rtl/>
        </w:rPr>
        <w:t>2</w:t>
      </w:r>
      <w:r w:rsidR="00887213" w:rsidRPr="001F24FA">
        <w:rPr>
          <w:rFonts w:hint="cs"/>
          <w:noProof/>
          <w:rtl/>
        </w:rPr>
        <w:t>,</w:t>
      </w:r>
      <w:r w:rsidR="004433F5" w:rsidRPr="001F24FA">
        <w:rPr>
          <w:rFonts w:hint="cs"/>
          <w:noProof/>
          <w:rtl/>
        </w:rPr>
        <w:t>1</w:t>
      </w:r>
      <w:r w:rsidR="00122E76" w:rsidRPr="001F24FA">
        <w:rPr>
          <w:rFonts w:hint="cs"/>
          <w:noProof/>
          <w:rtl/>
        </w:rPr>
        <w:t>87</w:t>
      </w:r>
      <w:r w:rsidR="001F63FC" w:rsidRPr="001F24FA">
        <w:rPr>
          <w:noProof/>
          <w:rtl/>
        </w:rPr>
        <w:t xml:space="preserve"> אלפי שעט"ן</w:t>
      </w:r>
      <w:r w:rsidR="006777F5">
        <w:rPr>
          <w:rFonts w:hint="cs"/>
          <w:noProof/>
          <w:rtl/>
        </w:rPr>
        <w:t>,</w:t>
      </w:r>
      <w:r w:rsidR="001F63FC" w:rsidRPr="001F24FA">
        <w:rPr>
          <w:noProof/>
          <w:rtl/>
        </w:rPr>
        <w:t xml:space="preserve"> </w:t>
      </w:r>
      <w:r w:rsidR="006777F5">
        <w:rPr>
          <w:rFonts w:hint="cs"/>
          <w:noProof/>
          <w:rtl/>
        </w:rPr>
        <w:t>בהמשך למגמת העלייה</w:t>
      </w:r>
      <w:r w:rsidR="00720C57" w:rsidRPr="001F24FA">
        <w:rPr>
          <w:rFonts w:hint="cs"/>
          <w:noProof/>
          <w:rtl/>
        </w:rPr>
        <w:t xml:space="preserve"> שהחלה בשנת 2015.</w:t>
      </w:r>
      <w:r w:rsidR="00663EB4" w:rsidRPr="001F24FA">
        <w:rPr>
          <w:rFonts w:hint="cs"/>
          <w:noProof/>
          <w:rtl/>
        </w:rPr>
        <w:t xml:space="preserve"> מוצרי הנפט שתרמו בעיקר לעל</w:t>
      </w:r>
      <w:r w:rsidR="00B21DD9" w:rsidRPr="001F24FA">
        <w:rPr>
          <w:rFonts w:hint="cs"/>
          <w:noProof/>
          <w:rtl/>
        </w:rPr>
        <w:t>י</w:t>
      </w:r>
      <w:r w:rsidR="00663EB4" w:rsidRPr="001F24FA">
        <w:rPr>
          <w:rFonts w:hint="cs"/>
          <w:noProof/>
          <w:rtl/>
        </w:rPr>
        <w:t xml:space="preserve">יה ביבוא הם </w:t>
      </w:r>
      <w:r w:rsidR="00122E76" w:rsidRPr="001F24FA">
        <w:rPr>
          <w:rFonts w:hint="cs"/>
          <w:noProof/>
          <w:rtl/>
        </w:rPr>
        <w:t>בנזין</w:t>
      </w:r>
      <w:r w:rsidR="00B21DD9" w:rsidRPr="001F24FA">
        <w:rPr>
          <w:rFonts w:hint="cs"/>
          <w:noProof/>
          <w:rtl/>
        </w:rPr>
        <w:t xml:space="preserve"> (</w:t>
      </w:r>
      <w:r w:rsidR="004433F5" w:rsidRPr="001F24FA">
        <w:rPr>
          <w:rFonts w:hint="cs"/>
          <w:noProof/>
          <w:rtl/>
        </w:rPr>
        <w:t>ב-</w:t>
      </w:r>
      <w:r w:rsidR="00122E76" w:rsidRPr="001F24FA">
        <w:rPr>
          <w:rFonts w:hint="cs"/>
          <w:noProof/>
          <w:rtl/>
        </w:rPr>
        <w:t>213</w:t>
      </w:r>
      <w:r w:rsidR="00B21DD9" w:rsidRPr="001F24FA">
        <w:rPr>
          <w:rFonts w:hint="cs"/>
          <w:noProof/>
          <w:rtl/>
        </w:rPr>
        <w:t xml:space="preserve"> אלפי שעט"ן, </w:t>
      </w:r>
      <w:r w:rsidR="00122E76" w:rsidRPr="001F24FA">
        <w:rPr>
          <w:rFonts w:hint="cs"/>
          <w:noProof/>
          <w:rtl/>
        </w:rPr>
        <w:t>30</w:t>
      </w:r>
      <w:r w:rsidR="000C09E2" w:rsidRPr="001F24FA">
        <w:rPr>
          <w:rFonts w:hint="cs"/>
          <w:noProof/>
          <w:rtl/>
        </w:rPr>
        <w:t>.</w:t>
      </w:r>
      <w:r w:rsidR="00122E76" w:rsidRPr="001F24FA">
        <w:rPr>
          <w:rFonts w:hint="cs"/>
          <w:noProof/>
          <w:rtl/>
        </w:rPr>
        <w:t>8</w:t>
      </w:r>
      <w:r w:rsidR="00B21DD9" w:rsidRPr="001F24FA">
        <w:rPr>
          <w:rFonts w:hint="cs"/>
          <w:noProof/>
          <w:rtl/>
        </w:rPr>
        <w:t xml:space="preserve">%) </w:t>
      </w:r>
      <w:r w:rsidR="00122E76" w:rsidRPr="001F24FA">
        <w:rPr>
          <w:rFonts w:hint="cs"/>
          <w:noProof/>
          <w:rtl/>
        </w:rPr>
        <w:t>ונפט</w:t>
      </w:r>
      <w:r w:rsidR="006777F5">
        <w:rPr>
          <w:rFonts w:hint="cs"/>
          <w:noProof/>
          <w:rtl/>
        </w:rPr>
        <w:t>א</w:t>
      </w:r>
      <w:r w:rsidR="001F63FC" w:rsidRPr="001F24FA">
        <w:rPr>
          <w:noProof/>
          <w:rtl/>
        </w:rPr>
        <w:t xml:space="preserve"> </w:t>
      </w:r>
      <w:r w:rsidR="00122E76" w:rsidRPr="001F24FA">
        <w:rPr>
          <w:rFonts w:hint="cs"/>
          <w:noProof/>
          <w:rtl/>
        </w:rPr>
        <w:t>שלכמעט ולא יובאה בשנת 2017.</w:t>
      </w:r>
      <w:r w:rsidR="00D26AC9" w:rsidRPr="001F24FA">
        <w:rPr>
          <w:rFonts w:hint="cs"/>
          <w:noProof/>
          <w:rtl/>
        </w:rPr>
        <w:t xml:space="preserve"> </w:t>
      </w:r>
    </w:p>
    <w:p w:rsidR="001F63FC" w:rsidRPr="001F24FA" w:rsidRDefault="001F63FC" w:rsidP="00F5150E">
      <w:pPr>
        <w:pStyle w:val="aa"/>
        <w:rPr>
          <w:rStyle w:val="afa"/>
          <w:rFonts w:cs="Arial"/>
          <w:bCs/>
          <w:rtl/>
        </w:rPr>
      </w:pPr>
      <w:r w:rsidRPr="001F24FA">
        <w:rPr>
          <w:rStyle w:val="afa"/>
          <w:rFonts w:cs="Arial"/>
          <w:bCs/>
          <w:rtl/>
        </w:rPr>
        <w:t>לוח</w:t>
      </w:r>
      <w:r w:rsidR="001D347E" w:rsidRPr="001F24FA">
        <w:rPr>
          <w:rStyle w:val="afa"/>
          <w:rFonts w:cs="Arial"/>
          <w:bCs/>
          <w:rtl/>
        </w:rPr>
        <w:t xml:space="preserve"> </w:t>
      </w:r>
      <w:r w:rsidR="005E7FCA" w:rsidRPr="001F24FA">
        <w:rPr>
          <w:rStyle w:val="afa"/>
          <w:rFonts w:cs="Arial" w:hint="cs"/>
          <w:bCs/>
          <w:rtl/>
        </w:rPr>
        <w:t>ג</w:t>
      </w:r>
      <w:r w:rsidR="00C52B0D" w:rsidRPr="001F24FA">
        <w:rPr>
          <w:rStyle w:val="afa"/>
          <w:rFonts w:cs="Arial" w:hint="cs"/>
          <w:bCs/>
          <w:rtl/>
        </w:rPr>
        <w:t xml:space="preserve"> -</w:t>
      </w:r>
      <w:r w:rsidRPr="001F24FA">
        <w:rPr>
          <w:rStyle w:val="afa"/>
          <w:rFonts w:cs="Arial"/>
          <w:bCs/>
          <w:rtl/>
        </w:rPr>
        <w:t xml:space="preserve"> יבוא </w:t>
      </w:r>
      <w:r w:rsidR="008F301F" w:rsidRPr="001F24FA">
        <w:rPr>
          <w:rStyle w:val="afa"/>
          <w:rFonts w:cs="Arial" w:hint="cs"/>
          <w:bCs/>
          <w:rtl/>
        </w:rPr>
        <w:t>מוצרי</w:t>
      </w:r>
      <w:r w:rsidR="005E7FCA" w:rsidRPr="001F24FA">
        <w:rPr>
          <w:rStyle w:val="afa"/>
          <w:rFonts w:cs="Arial" w:hint="cs"/>
          <w:bCs/>
          <w:rtl/>
        </w:rPr>
        <w:t xml:space="preserve"> נפט</w:t>
      </w:r>
      <w:r w:rsidRPr="001F24FA">
        <w:rPr>
          <w:rStyle w:val="afa"/>
          <w:rFonts w:cs="Arial"/>
          <w:bCs/>
          <w:rtl/>
        </w:rPr>
        <w:t xml:space="preserve"> (אלפי </w:t>
      </w:r>
      <w:proofErr w:type="spellStart"/>
      <w:r w:rsidRPr="001F24FA">
        <w:rPr>
          <w:rStyle w:val="afa"/>
          <w:rFonts w:cs="Arial"/>
          <w:bCs/>
          <w:rtl/>
        </w:rPr>
        <w:t>שעט"ן</w:t>
      </w:r>
      <w:proofErr w:type="spellEnd"/>
      <w:r w:rsidRPr="001F24FA">
        <w:rPr>
          <w:rStyle w:val="afa"/>
          <w:rFonts w:cs="Arial"/>
          <w:bCs/>
          <w:rtl/>
        </w:rPr>
        <w:t>)</w:t>
      </w:r>
    </w:p>
    <w:tbl>
      <w:tblPr>
        <w:bidiVisual/>
        <w:tblW w:w="10091"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Caption w:val="לוח ג - יבוא מוצרי נפט (אלפי שעט&quot;ן)"/>
        <w:tblDescription w:val="טבלה המתארת את יבוא מוצרי הנפט לפי סוג בין השנים 2014-2016"/>
      </w:tblPr>
      <w:tblGrid>
        <w:gridCol w:w="2836"/>
        <w:gridCol w:w="1054"/>
        <w:gridCol w:w="1055"/>
        <w:gridCol w:w="1058"/>
        <w:gridCol w:w="993"/>
        <w:gridCol w:w="1064"/>
        <w:gridCol w:w="2031"/>
      </w:tblGrid>
      <w:tr w:rsidR="005C64DC" w:rsidRPr="001F24FA" w:rsidTr="005C64DC">
        <w:trPr>
          <w:trHeight w:val="609"/>
          <w:tblHeader/>
          <w:jc w:val="center"/>
        </w:trPr>
        <w:tc>
          <w:tcPr>
            <w:tcW w:w="2828" w:type="dxa"/>
            <w:tcBorders>
              <w:top w:val="double" w:sz="6" w:space="0" w:color="auto"/>
              <w:left w:val="single" w:sz="4" w:space="0" w:color="auto"/>
              <w:bottom w:val="single" w:sz="4" w:space="0" w:color="auto"/>
              <w:right w:val="single" w:sz="4" w:space="0" w:color="auto"/>
            </w:tcBorders>
            <w:noWrap/>
            <w:vAlign w:val="center"/>
          </w:tcPr>
          <w:p w:rsidR="002C5648" w:rsidRPr="001F24FA" w:rsidRDefault="002C5648" w:rsidP="00E4750F">
            <w:pPr>
              <w:pStyle w:val="a0"/>
              <w:spacing w:line="276" w:lineRule="auto"/>
              <w:rPr>
                <w:sz w:val="24"/>
              </w:rPr>
            </w:pPr>
            <w:r w:rsidRPr="001F24FA">
              <w:rPr>
                <w:rFonts w:hint="cs"/>
                <w:sz w:val="24"/>
                <w:rtl/>
              </w:rPr>
              <w:t>יבוא מוצרי נפט</w:t>
            </w:r>
          </w:p>
        </w:tc>
        <w:tc>
          <w:tcPr>
            <w:tcW w:w="1055"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E4750F">
            <w:pPr>
              <w:pStyle w:val="a0"/>
              <w:spacing w:line="276" w:lineRule="auto"/>
              <w:ind w:left="227"/>
              <w:rPr>
                <w:sz w:val="24"/>
                <w:rtl/>
              </w:rPr>
            </w:pPr>
            <w:r w:rsidRPr="001F24FA">
              <w:rPr>
                <w:rFonts w:hint="cs"/>
                <w:sz w:val="24"/>
                <w:rtl/>
              </w:rPr>
              <w:t>2014</w:t>
            </w:r>
          </w:p>
        </w:tc>
        <w:tc>
          <w:tcPr>
            <w:tcW w:w="1056"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E4750F">
            <w:pPr>
              <w:pStyle w:val="a0"/>
              <w:spacing w:line="276" w:lineRule="auto"/>
              <w:ind w:left="227"/>
              <w:rPr>
                <w:sz w:val="24"/>
                <w:rtl/>
              </w:rPr>
            </w:pPr>
            <w:r w:rsidRPr="001F24FA">
              <w:rPr>
                <w:rFonts w:hint="cs"/>
                <w:sz w:val="24"/>
                <w:rtl/>
              </w:rPr>
              <w:t>2015</w:t>
            </w:r>
          </w:p>
        </w:tc>
        <w:tc>
          <w:tcPr>
            <w:tcW w:w="1058"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E4750F">
            <w:pPr>
              <w:pStyle w:val="a0"/>
              <w:spacing w:line="276" w:lineRule="auto"/>
              <w:ind w:left="227"/>
              <w:rPr>
                <w:sz w:val="24"/>
                <w:rtl/>
              </w:rPr>
            </w:pPr>
            <w:r w:rsidRPr="001F24FA">
              <w:rPr>
                <w:rFonts w:hint="cs"/>
                <w:sz w:val="24"/>
                <w:rtl/>
              </w:rPr>
              <w:t>2016</w:t>
            </w:r>
          </w:p>
        </w:tc>
        <w:tc>
          <w:tcPr>
            <w:tcW w:w="993"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2C5648">
            <w:pPr>
              <w:pStyle w:val="a0"/>
              <w:spacing w:line="276" w:lineRule="auto"/>
              <w:ind w:left="227"/>
              <w:jc w:val="center"/>
              <w:rPr>
                <w:sz w:val="24"/>
                <w:rtl/>
              </w:rPr>
            </w:pPr>
            <w:r w:rsidRPr="001F24FA">
              <w:rPr>
                <w:rFonts w:hint="cs"/>
                <w:sz w:val="24"/>
                <w:rtl/>
              </w:rPr>
              <w:t>2017</w:t>
            </w:r>
          </w:p>
        </w:tc>
        <w:tc>
          <w:tcPr>
            <w:tcW w:w="1064"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2C5648">
            <w:pPr>
              <w:pStyle w:val="a0"/>
              <w:spacing w:line="276" w:lineRule="auto"/>
              <w:ind w:left="227"/>
              <w:rPr>
                <w:sz w:val="24"/>
                <w:rtl/>
              </w:rPr>
            </w:pPr>
            <w:r w:rsidRPr="001F24FA">
              <w:rPr>
                <w:rFonts w:hint="cs"/>
                <w:sz w:val="24"/>
                <w:rtl/>
              </w:rPr>
              <w:t>2018</w:t>
            </w:r>
          </w:p>
        </w:tc>
        <w:tc>
          <w:tcPr>
            <w:tcW w:w="2037" w:type="dxa"/>
            <w:tcBorders>
              <w:top w:val="double" w:sz="6" w:space="0" w:color="auto"/>
              <w:left w:val="single" w:sz="4" w:space="0" w:color="auto"/>
              <w:bottom w:val="single" w:sz="4" w:space="0" w:color="auto"/>
              <w:right w:val="single" w:sz="4" w:space="0" w:color="auto"/>
            </w:tcBorders>
            <w:vAlign w:val="center"/>
          </w:tcPr>
          <w:p w:rsidR="002C5648" w:rsidRPr="001F24FA" w:rsidRDefault="002C5648" w:rsidP="00E4750F">
            <w:pPr>
              <w:pStyle w:val="a0"/>
              <w:spacing w:line="276" w:lineRule="auto"/>
              <w:ind w:left="227"/>
              <w:rPr>
                <w:sz w:val="24"/>
                <w:rtl/>
              </w:rPr>
            </w:pPr>
            <w:r w:rsidRPr="001F24FA">
              <w:rPr>
                <w:sz w:val="24"/>
                <w:rtl/>
              </w:rPr>
              <w:t xml:space="preserve">אחוז שינוי </w:t>
            </w:r>
          </w:p>
          <w:p w:rsidR="002C5648" w:rsidRPr="001F24FA" w:rsidRDefault="002C5648" w:rsidP="002C5648">
            <w:pPr>
              <w:pStyle w:val="a0"/>
              <w:spacing w:line="276" w:lineRule="auto"/>
              <w:ind w:left="227"/>
              <w:rPr>
                <w:sz w:val="24"/>
                <w:rtl/>
              </w:rPr>
            </w:pPr>
            <w:r w:rsidRPr="001F24FA">
              <w:rPr>
                <w:sz w:val="24"/>
                <w:rtl/>
              </w:rPr>
              <w:t>201</w:t>
            </w:r>
            <w:r w:rsidRPr="001F24FA">
              <w:rPr>
                <w:rFonts w:hint="cs"/>
                <w:sz w:val="24"/>
                <w:rtl/>
              </w:rPr>
              <w:t xml:space="preserve">8 </w:t>
            </w:r>
            <w:r w:rsidRPr="001F24FA">
              <w:rPr>
                <w:sz w:val="24"/>
                <w:rtl/>
              </w:rPr>
              <w:t>לעומת 201</w:t>
            </w:r>
            <w:r w:rsidRPr="001F24FA">
              <w:rPr>
                <w:rFonts w:hint="cs"/>
                <w:sz w:val="24"/>
                <w:rtl/>
              </w:rPr>
              <w:t>7</w:t>
            </w:r>
            <w:r w:rsidRPr="001F24FA">
              <w:rPr>
                <w:sz w:val="24"/>
                <w:rtl/>
              </w:rPr>
              <w:t xml:space="preserve"> </w:t>
            </w:r>
          </w:p>
        </w:tc>
      </w:tr>
      <w:tr w:rsidR="005C64DC" w:rsidRPr="001F24FA" w:rsidTr="00AD5643">
        <w:trPr>
          <w:trHeight w:val="373"/>
          <w:jc w:val="center"/>
        </w:trPr>
        <w:tc>
          <w:tcPr>
            <w:tcW w:w="2828" w:type="dxa"/>
            <w:tcBorders>
              <w:top w:val="single" w:sz="4" w:space="0" w:color="auto"/>
              <w:left w:val="single" w:sz="4" w:space="0" w:color="auto"/>
              <w:bottom w:val="single" w:sz="4" w:space="0" w:color="auto"/>
              <w:right w:val="single" w:sz="4" w:space="0" w:color="auto"/>
            </w:tcBorders>
            <w:noWrap/>
            <w:vAlign w:val="bottom"/>
          </w:tcPr>
          <w:p w:rsidR="005C64DC" w:rsidRPr="001F24FA" w:rsidRDefault="005C64DC" w:rsidP="00E4750F">
            <w:pPr>
              <w:pStyle w:val="a0"/>
              <w:spacing w:line="276" w:lineRule="auto"/>
              <w:rPr>
                <w:sz w:val="24"/>
              </w:rPr>
            </w:pPr>
            <w:r w:rsidRPr="001F24FA">
              <w:rPr>
                <w:rFonts w:hint="cs"/>
                <w:sz w:val="24"/>
                <w:rtl/>
              </w:rPr>
              <w:t>מוצרי</w:t>
            </w:r>
            <w:r w:rsidRPr="001F24FA">
              <w:rPr>
                <w:sz w:val="24"/>
                <w:rtl/>
              </w:rPr>
              <w:t xml:space="preserve"> נפט - סך הכל</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1,463.4</w:t>
            </w:r>
          </w:p>
        </w:tc>
        <w:tc>
          <w:tcPr>
            <w:tcW w:w="1056" w:type="dxa"/>
            <w:tcBorders>
              <w:top w:val="nil"/>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1,736.1</w:t>
            </w:r>
          </w:p>
        </w:tc>
        <w:tc>
          <w:tcPr>
            <w:tcW w:w="1058" w:type="dxa"/>
            <w:tcBorders>
              <w:top w:val="nil"/>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1,935.5</w:t>
            </w:r>
          </w:p>
        </w:tc>
        <w:tc>
          <w:tcPr>
            <w:tcW w:w="993" w:type="dxa"/>
            <w:tcBorders>
              <w:top w:val="nil"/>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2,075.0</w:t>
            </w:r>
          </w:p>
        </w:tc>
        <w:tc>
          <w:tcPr>
            <w:tcW w:w="1064" w:type="dxa"/>
            <w:tcBorders>
              <w:top w:val="nil"/>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2,187.5</w:t>
            </w:r>
          </w:p>
        </w:tc>
        <w:tc>
          <w:tcPr>
            <w:tcW w:w="2037" w:type="dxa"/>
            <w:tcBorders>
              <w:top w:val="nil"/>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5.4%</w:t>
            </w:r>
          </w:p>
        </w:tc>
      </w:tr>
      <w:tr w:rsidR="005C64DC" w:rsidRPr="001F24FA" w:rsidTr="00AD5643">
        <w:trPr>
          <w:trHeight w:val="255"/>
          <w:jc w:val="center"/>
        </w:trPr>
        <w:tc>
          <w:tcPr>
            <w:tcW w:w="2828" w:type="dxa"/>
            <w:tcBorders>
              <w:top w:val="single" w:sz="4" w:space="0" w:color="auto"/>
              <w:left w:val="single" w:sz="4" w:space="0" w:color="auto"/>
              <w:bottom w:val="single" w:sz="4" w:space="0" w:color="auto"/>
              <w:right w:val="nil"/>
            </w:tcBorders>
            <w:noWrap/>
            <w:vAlign w:val="bottom"/>
          </w:tcPr>
          <w:p w:rsidR="002C5648" w:rsidRPr="001F24FA" w:rsidRDefault="002C5648" w:rsidP="00E4750F">
            <w:pPr>
              <w:pStyle w:val="a0"/>
              <w:spacing w:line="276" w:lineRule="auto"/>
              <w:rPr>
                <w:sz w:val="24"/>
                <w:rtl/>
              </w:rPr>
            </w:pPr>
            <w:r w:rsidRPr="001F24FA">
              <w:rPr>
                <w:sz w:val="24"/>
                <w:rtl/>
              </w:rPr>
              <w:t>מזה:</w:t>
            </w:r>
          </w:p>
        </w:tc>
        <w:tc>
          <w:tcPr>
            <w:tcW w:w="1055" w:type="dxa"/>
            <w:tcBorders>
              <w:top w:val="single" w:sz="4" w:space="0" w:color="auto"/>
              <w:left w:val="nil"/>
              <w:bottom w:val="single" w:sz="4" w:space="0" w:color="auto"/>
              <w:right w:val="nil"/>
            </w:tcBorders>
            <w:vAlign w:val="center"/>
          </w:tcPr>
          <w:p w:rsidR="002C5648" w:rsidRPr="001F24FA" w:rsidRDefault="00AF649F" w:rsidP="00AD5643">
            <w:pPr>
              <w:pStyle w:val="a0"/>
              <w:spacing w:line="276" w:lineRule="auto"/>
              <w:ind w:left="227"/>
              <w:jc w:val="center"/>
              <w:rPr>
                <w:b w:val="0"/>
                <w:bCs w:val="0"/>
                <w:sz w:val="24"/>
                <w:rtl/>
              </w:rPr>
            </w:pPr>
            <w:r>
              <w:rPr>
                <w:rFonts w:hint="cs"/>
                <w:b w:val="0"/>
                <w:bCs w:val="0"/>
                <w:sz w:val="24"/>
                <w:rtl/>
              </w:rPr>
              <w:t>-</w:t>
            </w:r>
          </w:p>
        </w:tc>
        <w:tc>
          <w:tcPr>
            <w:tcW w:w="1056" w:type="dxa"/>
            <w:tcBorders>
              <w:top w:val="single" w:sz="4" w:space="0" w:color="auto"/>
              <w:left w:val="nil"/>
              <w:bottom w:val="single" w:sz="4" w:space="0" w:color="auto"/>
              <w:right w:val="nil"/>
            </w:tcBorders>
            <w:vAlign w:val="center"/>
          </w:tcPr>
          <w:p w:rsidR="002C5648" w:rsidRPr="001F24FA" w:rsidRDefault="00AF649F" w:rsidP="00AD5643">
            <w:pPr>
              <w:pStyle w:val="a0"/>
              <w:spacing w:line="276" w:lineRule="auto"/>
              <w:ind w:left="227"/>
              <w:jc w:val="center"/>
              <w:rPr>
                <w:b w:val="0"/>
                <w:bCs w:val="0"/>
                <w:sz w:val="24"/>
                <w:rtl/>
              </w:rPr>
            </w:pPr>
            <w:r>
              <w:rPr>
                <w:rFonts w:hint="cs"/>
                <w:b w:val="0"/>
                <w:bCs w:val="0"/>
                <w:sz w:val="24"/>
                <w:rtl/>
              </w:rPr>
              <w:t>-</w:t>
            </w:r>
          </w:p>
        </w:tc>
        <w:tc>
          <w:tcPr>
            <w:tcW w:w="1058" w:type="dxa"/>
            <w:tcBorders>
              <w:top w:val="single" w:sz="4" w:space="0" w:color="auto"/>
              <w:left w:val="nil"/>
              <w:bottom w:val="single" w:sz="4" w:space="0" w:color="auto"/>
              <w:right w:val="nil"/>
            </w:tcBorders>
            <w:vAlign w:val="center"/>
          </w:tcPr>
          <w:p w:rsidR="002C5648" w:rsidRPr="001F24FA" w:rsidRDefault="00AF649F" w:rsidP="00AD5643">
            <w:pPr>
              <w:pStyle w:val="a0"/>
              <w:spacing w:line="276" w:lineRule="auto"/>
              <w:ind w:left="227"/>
              <w:jc w:val="center"/>
              <w:rPr>
                <w:b w:val="0"/>
                <w:bCs w:val="0"/>
                <w:sz w:val="24"/>
                <w:rtl/>
              </w:rPr>
            </w:pPr>
            <w:r>
              <w:rPr>
                <w:rFonts w:hint="cs"/>
                <w:b w:val="0"/>
                <w:bCs w:val="0"/>
                <w:sz w:val="24"/>
                <w:rtl/>
              </w:rPr>
              <w:t>-</w:t>
            </w:r>
          </w:p>
        </w:tc>
        <w:tc>
          <w:tcPr>
            <w:tcW w:w="993" w:type="dxa"/>
            <w:tcBorders>
              <w:top w:val="single" w:sz="4" w:space="0" w:color="auto"/>
              <w:left w:val="nil"/>
              <w:bottom w:val="single" w:sz="4" w:space="0" w:color="auto"/>
              <w:right w:val="nil"/>
            </w:tcBorders>
            <w:vAlign w:val="center"/>
          </w:tcPr>
          <w:p w:rsidR="002C5648" w:rsidRPr="001F24FA" w:rsidRDefault="00AF649F" w:rsidP="00AD5643">
            <w:pPr>
              <w:spacing w:line="276" w:lineRule="auto"/>
              <w:ind w:left="227"/>
              <w:jc w:val="center"/>
              <w:rPr>
                <w:rtl/>
              </w:rPr>
            </w:pPr>
            <w:r>
              <w:rPr>
                <w:rFonts w:hint="cs"/>
                <w:rtl/>
              </w:rPr>
              <w:t>-</w:t>
            </w:r>
          </w:p>
        </w:tc>
        <w:tc>
          <w:tcPr>
            <w:tcW w:w="1064" w:type="dxa"/>
            <w:tcBorders>
              <w:top w:val="single" w:sz="4" w:space="0" w:color="auto"/>
              <w:left w:val="nil"/>
              <w:bottom w:val="single" w:sz="4" w:space="0" w:color="auto"/>
              <w:right w:val="nil"/>
            </w:tcBorders>
            <w:vAlign w:val="center"/>
          </w:tcPr>
          <w:p w:rsidR="002C5648" w:rsidRPr="001F24FA" w:rsidRDefault="00AF649F" w:rsidP="00AD5643">
            <w:pPr>
              <w:spacing w:line="276" w:lineRule="auto"/>
              <w:ind w:left="227"/>
              <w:jc w:val="center"/>
              <w:rPr>
                <w:rtl/>
              </w:rPr>
            </w:pPr>
            <w:r>
              <w:rPr>
                <w:rFonts w:hint="cs"/>
                <w:rtl/>
              </w:rPr>
              <w:t>-</w:t>
            </w:r>
          </w:p>
        </w:tc>
        <w:tc>
          <w:tcPr>
            <w:tcW w:w="2037" w:type="dxa"/>
            <w:tcBorders>
              <w:top w:val="single" w:sz="4" w:space="0" w:color="auto"/>
              <w:left w:val="nil"/>
              <w:bottom w:val="single" w:sz="4" w:space="0" w:color="auto"/>
              <w:right w:val="single" w:sz="4" w:space="0" w:color="auto"/>
            </w:tcBorders>
            <w:vAlign w:val="center"/>
          </w:tcPr>
          <w:p w:rsidR="002C5648" w:rsidRPr="001F24FA" w:rsidRDefault="00AF649F" w:rsidP="00AD5643">
            <w:pPr>
              <w:spacing w:line="276" w:lineRule="auto"/>
              <w:ind w:left="227"/>
              <w:jc w:val="center"/>
              <w:rPr>
                <w:rtl/>
              </w:rPr>
            </w:pPr>
            <w:r>
              <w:rPr>
                <w:rFonts w:hint="cs"/>
                <w:rtl/>
              </w:rPr>
              <w:t>-</w:t>
            </w:r>
          </w:p>
        </w:tc>
      </w:tr>
      <w:tr w:rsidR="005C64DC" w:rsidRPr="001F24FA" w:rsidTr="00AD5643">
        <w:trPr>
          <w:trHeight w:val="255"/>
          <w:jc w:val="center"/>
        </w:trPr>
        <w:tc>
          <w:tcPr>
            <w:tcW w:w="2828" w:type="dxa"/>
            <w:tcBorders>
              <w:top w:val="single" w:sz="4" w:space="0" w:color="auto"/>
              <w:left w:val="single" w:sz="4" w:space="0" w:color="auto"/>
              <w:bottom w:val="single" w:sz="4" w:space="0" w:color="auto"/>
              <w:right w:val="single" w:sz="4" w:space="0" w:color="auto"/>
            </w:tcBorders>
            <w:noWrap/>
            <w:vAlign w:val="bottom"/>
          </w:tcPr>
          <w:p w:rsidR="005C64DC" w:rsidRPr="001F24FA" w:rsidRDefault="005C64DC" w:rsidP="00E4750F">
            <w:pPr>
              <w:pStyle w:val="a0"/>
              <w:spacing w:line="276" w:lineRule="auto"/>
              <w:rPr>
                <w:sz w:val="24"/>
              </w:rPr>
            </w:pPr>
            <w:r w:rsidRPr="001F24FA">
              <w:rPr>
                <w:sz w:val="24"/>
                <w:rtl/>
              </w:rPr>
              <w:t xml:space="preserve">סולר </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154.5</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213.2</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288.7</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332.2</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257.0</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-22.6%</w:t>
            </w:r>
          </w:p>
        </w:tc>
      </w:tr>
      <w:tr w:rsidR="005C64DC" w:rsidRPr="001F24FA" w:rsidTr="00AD5643">
        <w:trPr>
          <w:trHeight w:val="252"/>
          <w:jc w:val="center"/>
        </w:trPr>
        <w:tc>
          <w:tcPr>
            <w:tcW w:w="2828" w:type="dxa"/>
            <w:tcBorders>
              <w:top w:val="single" w:sz="4" w:space="0" w:color="auto"/>
              <w:left w:val="single" w:sz="4" w:space="0" w:color="auto"/>
              <w:bottom w:val="single" w:sz="4" w:space="0" w:color="auto"/>
              <w:right w:val="single" w:sz="4" w:space="0" w:color="auto"/>
            </w:tcBorders>
            <w:noWrap/>
            <w:vAlign w:val="center"/>
          </w:tcPr>
          <w:p w:rsidR="005C64DC" w:rsidRPr="001F24FA" w:rsidRDefault="005C64DC" w:rsidP="00E4750F">
            <w:pPr>
              <w:pStyle w:val="a0"/>
              <w:spacing w:line="276" w:lineRule="auto"/>
              <w:rPr>
                <w:sz w:val="24"/>
              </w:rPr>
            </w:pPr>
            <w:r w:rsidRPr="001F24FA">
              <w:rPr>
                <w:sz w:val="24"/>
                <w:rtl/>
              </w:rPr>
              <w:t>בנזין</w:t>
            </w:r>
            <w:r w:rsidRPr="001F24FA">
              <w:rPr>
                <w:rFonts w:hint="cs"/>
                <w:sz w:val="24"/>
                <w:rtl/>
              </w:rPr>
              <w:t xml:space="preserve"> לרכב</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473.3</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519.0</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721.1</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689.7</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902.3</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30.8%</w:t>
            </w:r>
          </w:p>
        </w:tc>
      </w:tr>
      <w:tr w:rsidR="005C64DC" w:rsidRPr="001F24FA" w:rsidTr="00AD5643">
        <w:trPr>
          <w:trHeight w:val="70"/>
          <w:jc w:val="center"/>
        </w:trPr>
        <w:tc>
          <w:tcPr>
            <w:tcW w:w="2828" w:type="dxa"/>
            <w:tcBorders>
              <w:top w:val="single" w:sz="4" w:space="0" w:color="auto"/>
              <w:left w:val="single" w:sz="4" w:space="0" w:color="auto"/>
              <w:bottom w:val="single" w:sz="4" w:space="0" w:color="auto"/>
              <w:right w:val="single" w:sz="4" w:space="0" w:color="auto"/>
            </w:tcBorders>
            <w:noWrap/>
            <w:vAlign w:val="bottom"/>
          </w:tcPr>
          <w:p w:rsidR="005C64DC" w:rsidRPr="001F24FA" w:rsidRDefault="005C64DC" w:rsidP="00E4750F">
            <w:pPr>
              <w:pStyle w:val="a0"/>
              <w:spacing w:line="276" w:lineRule="auto"/>
              <w:rPr>
                <w:sz w:val="24"/>
                <w:rtl/>
              </w:rPr>
            </w:pPr>
            <w:r w:rsidRPr="001F24FA">
              <w:rPr>
                <w:sz w:val="24"/>
                <w:rtl/>
              </w:rPr>
              <w:t>מזוט</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0.0</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0.0</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0.0</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AF649F" w:rsidP="00AD5643">
            <w:pPr>
              <w:jc w:val="center"/>
            </w:pPr>
            <w:r>
              <w:rPr>
                <w:rFonts w:hint="cs"/>
                <w:rtl/>
              </w:rPr>
              <w:t>-</w:t>
            </w:r>
          </w:p>
        </w:tc>
      </w:tr>
      <w:tr w:rsidR="005C64DC" w:rsidRPr="001F24FA" w:rsidTr="00AD5643">
        <w:trPr>
          <w:trHeight w:val="208"/>
          <w:jc w:val="center"/>
        </w:trPr>
        <w:tc>
          <w:tcPr>
            <w:tcW w:w="2828" w:type="dxa"/>
            <w:tcBorders>
              <w:top w:val="single" w:sz="4" w:space="0" w:color="auto"/>
              <w:left w:val="single" w:sz="4" w:space="0" w:color="auto"/>
              <w:bottom w:val="single" w:sz="4" w:space="0" w:color="auto"/>
              <w:right w:val="single" w:sz="4" w:space="0" w:color="auto"/>
            </w:tcBorders>
            <w:noWrap/>
            <w:vAlign w:val="bottom"/>
          </w:tcPr>
          <w:p w:rsidR="005C64DC" w:rsidRPr="001F24FA" w:rsidRDefault="005C64DC" w:rsidP="00E4750F">
            <w:pPr>
              <w:pStyle w:val="a0"/>
              <w:spacing w:line="276" w:lineRule="auto"/>
              <w:rPr>
                <w:sz w:val="24"/>
              </w:rPr>
            </w:pPr>
            <w:r w:rsidRPr="001F24FA">
              <w:rPr>
                <w:sz w:val="24"/>
                <w:rtl/>
              </w:rPr>
              <w:t>קרוסין</w:t>
            </w:r>
            <w:r w:rsidRPr="001F24FA">
              <w:rPr>
                <w:rFonts w:hint="cs"/>
                <w:sz w:val="24"/>
                <w:rtl/>
              </w:rPr>
              <w:t xml:space="preserve"> ודלק סילוני</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314.3</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329.7</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272.7</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398.1</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406.5</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2.1%</w:t>
            </w:r>
          </w:p>
        </w:tc>
      </w:tr>
      <w:tr w:rsidR="005C64DC" w:rsidRPr="001F24FA" w:rsidTr="00AD5643">
        <w:trPr>
          <w:trHeight w:val="255"/>
          <w:jc w:val="center"/>
        </w:trPr>
        <w:tc>
          <w:tcPr>
            <w:tcW w:w="2828" w:type="dxa"/>
            <w:tcBorders>
              <w:top w:val="single" w:sz="4" w:space="0" w:color="auto"/>
              <w:left w:val="single" w:sz="4" w:space="0" w:color="auto"/>
              <w:bottom w:val="single" w:sz="4" w:space="0" w:color="auto"/>
              <w:right w:val="single" w:sz="4" w:space="0" w:color="auto"/>
            </w:tcBorders>
            <w:noWrap/>
            <w:vAlign w:val="center"/>
          </w:tcPr>
          <w:p w:rsidR="005C64DC" w:rsidRPr="001F24FA" w:rsidRDefault="005C64DC" w:rsidP="00E4750F">
            <w:pPr>
              <w:pStyle w:val="a0"/>
              <w:spacing w:line="276" w:lineRule="auto"/>
              <w:rPr>
                <w:sz w:val="24"/>
              </w:rPr>
            </w:pPr>
            <w:r w:rsidRPr="001F24FA">
              <w:rPr>
                <w:sz w:val="24"/>
                <w:rtl/>
              </w:rPr>
              <w:t>נפטא</w:t>
            </w:r>
            <w:r w:rsidRPr="001F24FA">
              <w:rPr>
                <w:rFonts w:hint="cs"/>
                <w:sz w:val="24"/>
                <w:rtl/>
              </w:rPr>
              <w:t xml:space="preserve"> (ובנזין תעשיית</w:t>
            </w:r>
            <w:r w:rsidRPr="001F24FA">
              <w:rPr>
                <w:rFonts w:hint="eastAsia"/>
                <w:sz w:val="24"/>
                <w:rtl/>
              </w:rPr>
              <w:t>י</w:t>
            </w:r>
            <w:r w:rsidRPr="001F24FA">
              <w:rPr>
                <w:rFonts w:hint="cs"/>
                <w:sz w:val="24"/>
                <w:rtl/>
              </w:rPr>
              <w:t>)</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124.5</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0.1</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134.2</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AF649F" w:rsidP="00AD5643">
            <w:pPr>
              <w:jc w:val="center"/>
            </w:pPr>
            <w:r>
              <w:rPr>
                <w:rFonts w:hint="cs"/>
                <w:rtl/>
              </w:rPr>
              <w:t>-</w:t>
            </w:r>
          </w:p>
        </w:tc>
      </w:tr>
      <w:tr w:rsidR="005C64DC" w:rsidRPr="001F24FA" w:rsidTr="00AD5643">
        <w:trPr>
          <w:trHeight w:val="255"/>
          <w:jc w:val="center"/>
        </w:trPr>
        <w:tc>
          <w:tcPr>
            <w:tcW w:w="2828" w:type="dxa"/>
            <w:tcBorders>
              <w:top w:val="single" w:sz="4" w:space="0" w:color="auto"/>
              <w:left w:val="single" w:sz="4" w:space="0" w:color="auto"/>
              <w:bottom w:val="single" w:sz="4" w:space="0" w:color="auto"/>
              <w:right w:val="single" w:sz="4" w:space="0" w:color="auto"/>
            </w:tcBorders>
            <w:noWrap/>
            <w:vAlign w:val="bottom"/>
          </w:tcPr>
          <w:p w:rsidR="005C64DC" w:rsidRPr="001F24FA" w:rsidRDefault="005C64DC" w:rsidP="005C64DC">
            <w:pPr>
              <w:pStyle w:val="a0"/>
              <w:spacing w:line="276" w:lineRule="auto"/>
              <w:rPr>
                <w:sz w:val="24"/>
              </w:rPr>
            </w:pPr>
            <w:r w:rsidRPr="001F24FA">
              <w:rPr>
                <w:sz w:val="24"/>
                <w:rtl/>
              </w:rPr>
              <w:t>גפ"מ</w:t>
            </w:r>
          </w:p>
        </w:tc>
        <w:tc>
          <w:tcPr>
            <w:tcW w:w="1055"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213.9</w:t>
            </w:r>
          </w:p>
        </w:tc>
        <w:tc>
          <w:tcPr>
            <w:tcW w:w="1056"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277.3</w:t>
            </w:r>
          </w:p>
        </w:tc>
        <w:tc>
          <w:tcPr>
            <w:tcW w:w="1058"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307.9</w:t>
            </w:r>
          </w:p>
        </w:tc>
        <w:tc>
          <w:tcPr>
            <w:tcW w:w="993"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347.9</w:t>
            </w:r>
          </w:p>
        </w:tc>
        <w:tc>
          <w:tcPr>
            <w:tcW w:w="1064"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228.0</w:t>
            </w:r>
          </w:p>
        </w:tc>
        <w:tc>
          <w:tcPr>
            <w:tcW w:w="2037" w:type="dxa"/>
            <w:tcBorders>
              <w:top w:val="single" w:sz="4" w:space="0" w:color="auto"/>
              <w:left w:val="single" w:sz="4" w:space="0" w:color="auto"/>
              <w:bottom w:val="single" w:sz="4" w:space="0" w:color="auto"/>
              <w:right w:val="single" w:sz="4" w:space="0" w:color="auto"/>
            </w:tcBorders>
            <w:vAlign w:val="center"/>
          </w:tcPr>
          <w:p w:rsidR="005C64DC" w:rsidRPr="001F24FA" w:rsidRDefault="005C64DC" w:rsidP="00AD5643">
            <w:pPr>
              <w:jc w:val="center"/>
            </w:pPr>
            <w:r w:rsidRPr="001F24FA">
              <w:t>-34.5%</w:t>
            </w:r>
          </w:p>
        </w:tc>
      </w:tr>
      <w:tr w:rsidR="005C64DC" w:rsidRPr="001F24FA" w:rsidTr="00AD5643">
        <w:trPr>
          <w:trHeight w:val="255"/>
          <w:jc w:val="center"/>
        </w:trPr>
        <w:tc>
          <w:tcPr>
            <w:tcW w:w="2828" w:type="dxa"/>
            <w:tcBorders>
              <w:top w:val="single" w:sz="4" w:space="0" w:color="auto"/>
              <w:left w:val="single" w:sz="4" w:space="0" w:color="auto"/>
              <w:bottom w:val="double" w:sz="6" w:space="0" w:color="auto"/>
              <w:right w:val="single" w:sz="4" w:space="0" w:color="auto"/>
            </w:tcBorders>
            <w:noWrap/>
            <w:vAlign w:val="bottom"/>
          </w:tcPr>
          <w:p w:rsidR="005C64DC" w:rsidRPr="001F24FA" w:rsidRDefault="005C64DC" w:rsidP="00E4750F">
            <w:pPr>
              <w:pStyle w:val="a0"/>
              <w:spacing w:line="276" w:lineRule="auto"/>
              <w:rPr>
                <w:sz w:val="24"/>
              </w:rPr>
            </w:pPr>
            <w:r w:rsidRPr="001F24FA">
              <w:rPr>
                <w:sz w:val="24"/>
                <w:rtl/>
              </w:rPr>
              <w:t>מוצרי נפט אחרים</w:t>
            </w:r>
          </w:p>
        </w:tc>
        <w:tc>
          <w:tcPr>
            <w:tcW w:w="1055"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307.4</w:t>
            </w:r>
          </w:p>
        </w:tc>
        <w:tc>
          <w:tcPr>
            <w:tcW w:w="1056"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396.8</w:t>
            </w:r>
          </w:p>
        </w:tc>
        <w:tc>
          <w:tcPr>
            <w:tcW w:w="1058"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220.5</w:t>
            </w:r>
          </w:p>
        </w:tc>
        <w:tc>
          <w:tcPr>
            <w:tcW w:w="993"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307.0</w:t>
            </w:r>
          </w:p>
        </w:tc>
        <w:tc>
          <w:tcPr>
            <w:tcW w:w="1064"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259.5</w:t>
            </w:r>
          </w:p>
        </w:tc>
        <w:tc>
          <w:tcPr>
            <w:tcW w:w="2037" w:type="dxa"/>
            <w:tcBorders>
              <w:top w:val="single" w:sz="4" w:space="0" w:color="auto"/>
              <w:left w:val="single" w:sz="4" w:space="0" w:color="auto"/>
              <w:bottom w:val="double" w:sz="6" w:space="0" w:color="auto"/>
              <w:right w:val="single" w:sz="4" w:space="0" w:color="auto"/>
            </w:tcBorders>
            <w:vAlign w:val="center"/>
          </w:tcPr>
          <w:p w:rsidR="005C64DC" w:rsidRPr="001F24FA" w:rsidRDefault="005C64DC" w:rsidP="00AD5643">
            <w:pPr>
              <w:jc w:val="center"/>
            </w:pPr>
            <w:r w:rsidRPr="001F24FA">
              <w:t>-15.5%</w:t>
            </w:r>
          </w:p>
        </w:tc>
      </w:tr>
    </w:tbl>
    <w:p w:rsidR="005D1CC4" w:rsidRPr="001F24FA" w:rsidRDefault="005A7687" w:rsidP="00703DE4">
      <w:pPr>
        <w:pStyle w:val="2"/>
        <w:rPr>
          <w:rtl/>
        </w:rPr>
      </w:pPr>
      <w:r w:rsidRPr="001F24FA">
        <w:rPr>
          <w:rtl/>
        </w:rPr>
        <w:br w:type="page"/>
      </w:r>
      <w:r w:rsidR="00C43E5A" w:rsidRPr="001F24FA">
        <w:rPr>
          <w:rFonts w:hint="cs"/>
          <w:rtl/>
        </w:rPr>
        <w:lastRenderedPageBreak/>
        <w:t>פירוט ה</w:t>
      </w:r>
      <w:r w:rsidR="005D1CC4" w:rsidRPr="001F24FA">
        <w:rPr>
          <w:rFonts w:hint="cs"/>
          <w:rtl/>
        </w:rPr>
        <w:t>שימושים במוצרי נפט</w:t>
      </w:r>
    </w:p>
    <w:p w:rsidR="00EB5FBB" w:rsidRPr="001F24FA" w:rsidRDefault="00EB5FBB" w:rsidP="00703DE4">
      <w:pPr>
        <w:pStyle w:val="3"/>
        <w:rPr>
          <w:rtl/>
        </w:rPr>
      </w:pPr>
      <w:r w:rsidRPr="001F24FA">
        <w:rPr>
          <w:rtl/>
        </w:rPr>
        <w:t>צריכ</w:t>
      </w:r>
      <w:r w:rsidR="000B2E7F" w:rsidRPr="001F24FA">
        <w:rPr>
          <w:rtl/>
        </w:rPr>
        <w:t xml:space="preserve">ה סופית של </w:t>
      </w:r>
      <w:r w:rsidR="008F301F" w:rsidRPr="001F24FA">
        <w:rPr>
          <w:rFonts w:hint="cs"/>
          <w:rtl/>
        </w:rPr>
        <w:t>מוצרי</w:t>
      </w:r>
      <w:r w:rsidRPr="001F24FA">
        <w:rPr>
          <w:rtl/>
        </w:rPr>
        <w:t xml:space="preserve"> נפט</w:t>
      </w:r>
    </w:p>
    <w:p w:rsidR="00EF5986" w:rsidRDefault="000B2E7F" w:rsidP="006777F5">
      <w:pPr>
        <w:rPr>
          <w:noProof/>
          <w:rtl/>
        </w:rPr>
      </w:pPr>
      <w:r w:rsidRPr="001F24FA">
        <w:rPr>
          <w:noProof/>
          <w:rtl/>
        </w:rPr>
        <w:t>ה</w:t>
      </w:r>
      <w:r w:rsidR="00502F1D" w:rsidRPr="001F24FA">
        <w:rPr>
          <w:noProof/>
          <w:rtl/>
        </w:rPr>
        <w:t>צריכ</w:t>
      </w:r>
      <w:r w:rsidRPr="001F24FA">
        <w:rPr>
          <w:noProof/>
          <w:rtl/>
        </w:rPr>
        <w:t xml:space="preserve">ה הסופית של </w:t>
      </w:r>
      <w:r w:rsidR="00B33E04" w:rsidRPr="001F24FA">
        <w:rPr>
          <w:noProof/>
          <w:rtl/>
        </w:rPr>
        <w:t>סך כל</w:t>
      </w:r>
      <w:r w:rsidR="00502F1D" w:rsidRPr="001F24FA">
        <w:rPr>
          <w:noProof/>
          <w:rtl/>
        </w:rPr>
        <w:t xml:space="preserve"> </w:t>
      </w:r>
      <w:r w:rsidR="008F301F" w:rsidRPr="001F24FA">
        <w:rPr>
          <w:rFonts w:hint="cs"/>
          <w:noProof/>
          <w:rtl/>
        </w:rPr>
        <w:t>מוצרי</w:t>
      </w:r>
      <w:r w:rsidR="00502F1D" w:rsidRPr="001F24FA">
        <w:rPr>
          <w:noProof/>
          <w:rtl/>
        </w:rPr>
        <w:t xml:space="preserve"> </w:t>
      </w:r>
      <w:r w:rsidR="00B33E04" w:rsidRPr="001F24FA">
        <w:rPr>
          <w:noProof/>
          <w:rtl/>
        </w:rPr>
        <w:t>ה</w:t>
      </w:r>
      <w:r w:rsidR="00502F1D" w:rsidRPr="001F24FA">
        <w:rPr>
          <w:noProof/>
          <w:rtl/>
        </w:rPr>
        <w:t xml:space="preserve">נפט </w:t>
      </w:r>
      <w:r w:rsidR="004E3C10" w:rsidRPr="001F24FA">
        <w:rPr>
          <w:rFonts w:hint="cs"/>
          <w:noProof/>
          <w:rtl/>
        </w:rPr>
        <w:t>הסתכמה</w:t>
      </w:r>
      <w:r w:rsidR="004E3C10" w:rsidRPr="001F24FA">
        <w:rPr>
          <w:noProof/>
          <w:rtl/>
        </w:rPr>
        <w:t xml:space="preserve"> בשנת 201</w:t>
      </w:r>
      <w:r w:rsidR="002B5C5C" w:rsidRPr="001F24FA">
        <w:rPr>
          <w:rFonts w:hint="cs"/>
          <w:noProof/>
          <w:rtl/>
        </w:rPr>
        <w:t>8</w:t>
      </w:r>
      <w:r w:rsidR="004E3C10" w:rsidRPr="001F24FA">
        <w:rPr>
          <w:noProof/>
          <w:rtl/>
        </w:rPr>
        <w:t xml:space="preserve"> </w:t>
      </w:r>
      <w:r w:rsidR="004815A7" w:rsidRPr="001F24FA">
        <w:rPr>
          <w:noProof/>
          <w:rtl/>
        </w:rPr>
        <w:t>ב-</w:t>
      </w:r>
      <w:r w:rsidR="00D32CE2" w:rsidRPr="001F24FA">
        <w:rPr>
          <w:rFonts w:hint="cs"/>
          <w:noProof/>
          <w:rtl/>
        </w:rPr>
        <w:t>8,</w:t>
      </w:r>
      <w:r w:rsidR="00F63263" w:rsidRPr="001F24FA">
        <w:rPr>
          <w:rFonts w:hint="cs"/>
          <w:noProof/>
          <w:rtl/>
        </w:rPr>
        <w:t>9</w:t>
      </w:r>
      <w:r w:rsidR="00122E76" w:rsidRPr="001F24FA">
        <w:rPr>
          <w:rFonts w:hint="cs"/>
          <w:noProof/>
          <w:rtl/>
        </w:rPr>
        <w:t>5</w:t>
      </w:r>
      <w:r w:rsidR="001F24FA" w:rsidRPr="001F24FA">
        <w:rPr>
          <w:rFonts w:hint="cs"/>
          <w:noProof/>
          <w:rtl/>
        </w:rPr>
        <w:t>6</w:t>
      </w:r>
      <w:r w:rsidR="004E3C10" w:rsidRPr="001F24FA">
        <w:rPr>
          <w:noProof/>
          <w:rtl/>
        </w:rPr>
        <w:t xml:space="preserve"> אלפי שעט"ן</w:t>
      </w:r>
      <w:r w:rsidR="00AE1996" w:rsidRPr="001F24FA">
        <w:rPr>
          <w:rFonts w:hint="cs"/>
          <w:noProof/>
          <w:rtl/>
        </w:rPr>
        <w:t>,</w:t>
      </w:r>
      <w:r w:rsidR="004E3C10" w:rsidRPr="001F24FA">
        <w:rPr>
          <w:rFonts w:hint="cs"/>
          <w:noProof/>
          <w:rtl/>
        </w:rPr>
        <w:t xml:space="preserve"> </w:t>
      </w:r>
      <w:r w:rsidR="00E46675" w:rsidRPr="001F24FA">
        <w:rPr>
          <w:rFonts w:hint="cs"/>
          <w:noProof/>
          <w:rtl/>
        </w:rPr>
        <w:t>עלייה</w:t>
      </w:r>
      <w:r w:rsidR="004E3C10" w:rsidRPr="001F24FA">
        <w:rPr>
          <w:rFonts w:hint="cs"/>
          <w:noProof/>
          <w:rtl/>
        </w:rPr>
        <w:t xml:space="preserve"> </w:t>
      </w:r>
      <w:r w:rsidR="00AE1996" w:rsidRPr="001F24FA">
        <w:rPr>
          <w:rFonts w:hint="cs"/>
          <w:noProof/>
          <w:rtl/>
        </w:rPr>
        <w:t>של</w:t>
      </w:r>
      <w:r w:rsidR="004E3C10" w:rsidRPr="001F24FA">
        <w:rPr>
          <w:rFonts w:hint="cs"/>
          <w:noProof/>
          <w:rtl/>
        </w:rPr>
        <w:t xml:space="preserve"> </w:t>
      </w:r>
      <w:r w:rsidR="00454B84" w:rsidRPr="001F24FA">
        <w:rPr>
          <w:rFonts w:hint="cs"/>
          <w:noProof/>
          <w:rtl/>
        </w:rPr>
        <w:t>0.5</w:t>
      </w:r>
      <w:r w:rsidR="004E3C10" w:rsidRPr="001F24FA">
        <w:rPr>
          <w:noProof/>
          <w:rtl/>
        </w:rPr>
        <w:t>%</w:t>
      </w:r>
      <w:r w:rsidR="004E3C10" w:rsidRPr="001F24FA">
        <w:rPr>
          <w:rFonts w:hint="cs"/>
          <w:noProof/>
          <w:rtl/>
        </w:rPr>
        <w:t xml:space="preserve"> </w:t>
      </w:r>
      <w:r w:rsidR="004E3C10" w:rsidRPr="001F24FA">
        <w:rPr>
          <w:noProof/>
          <w:rtl/>
        </w:rPr>
        <w:t>לעומת 201</w:t>
      </w:r>
      <w:r w:rsidR="00454B84" w:rsidRPr="001F24FA">
        <w:rPr>
          <w:rFonts w:hint="cs"/>
          <w:noProof/>
          <w:rtl/>
        </w:rPr>
        <w:t>7</w:t>
      </w:r>
      <w:r w:rsidR="004E3C10" w:rsidRPr="001F24FA">
        <w:rPr>
          <w:rFonts w:hint="cs"/>
          <w:noProof/>
          <w:rtl/>
        </w:rPr>
        <w:t xml:space="preserve"> </w:t>
      </w:r>
      <w:r w:rsidR="00D24936" w:rsidRPr="001F24FA">
        <w:rPr>
          <w:rFonts w:hint="cs"/>
          <w:noProof/>
          <w:rtl/>
        </w:rPr>
        <w:t>(</w:t>
      </w:r>
      <w:r w:rsidR="000A07D3" w:rsidRPr="001F24FA">
        <w:rPr>
          <w:rFonts w:hint="cs"/>
          <w:noProof/>
          <w:rtl/>
        </w:rPr>
        <w:t>8,</w:t>
      </w:r>
      <w:r w:rsidR="00454B84" w:rsidRPr="001F24FA">
        <w:rPr>
          <w:rFonts w:hint="cs"/>
          <w:noProof/>
          <w:rtl/>
        </w:rPr>
        <w:t>910</w:t>
      </w:r>
      <w:r w:rsidR="00A87FDB" w:rsidRPr="001F24FA">
        <w:rPr>
          <w:rFonts w:hint="cs"/>
          <w:noProof/>
          <w:rtl/>
        </w:rPr>
        <w:t xml:space="preserve"> </w:t>
      </w:r>
      <w:r w:rsidR="004E3C10" w:rsidRPr="001F24FA">
        <w:rPr>
          <w:rFonts w:hint="cs"/>
          <w:noProof/>
          <w:rtl/>
        </w:rPr>
        <w:t xml:space="preserve">אלפי </w:t>
      </w:r>
      <w:r w:rsidR="004E3C10" w:rsidRPr="007D1C1E">
        <w:rPr>
          <w:rFonts w:hint="cs"/>
          <w:noProof/>
          <w:rtl/>
        </w:rPr>
        <w:t>שעט"ן).</w:t>
      </w:r>
      <w:r w:rsidR="00EF5986" w:rsidRPr="007D1C1E">
        <w:rPr>
          <w:rFonts w:hint="cs"/>
          <w:noProof/>
          <w:rtl/>
        </w:rPr>
        <w:t xml:space="preserve"> </w:t>
      </w:r>
      <w:r w:rsidR="00FC0D39" w:rsidRPr="007D1C1E">
        <w:rPr>
          <w:rFonts w:hint="cs"/>
          <w:noProof/>
          <w:rtl/>
        </w:rPr>
        <w:t>עליות אלו נבעו בעיקר מ</w:t>
      </w:r>
      <w:r w:rsidR="006777F5">
        <w:rPr>
          <w:rFonts w:hint="cs"/>
          <w:noProof/>
          <w:rtl/>
        </w:rPr>
        <w:t>ה</w:t>
      </w:r>
      <w:r w:rsidR="00FC0D39" w:rsidRPr="007D1C1E">
        <w:rPr>
          <w:rFonts w:hint="cs"/>
          <w:noProof/>
          <w:rtl/>
        </w:rPr>
        <w:t>עלי</w:t>
      </w:r>
      <w:r w:rsidR="006777F5">
        <w:rPr>
          <w:rFonts w:hint="cs"/>
          <w:noProof/>
          <w:rtl/>
        </w:rPr>
        <w:t>י</w:t>
      </w:r>
      <w:r w:rsidR="00FC0D39" w:rsidRPr="007D1C1E">
        <w:rPr>
          <w:rFonts w:hint="cs"/>
          <w:noProof/>
          <w:rtl/>
        </w:rPr>
        <w:t>ה ב</w:t>
      </w:r>
      <w:r w:rsidR="00EF5986" w:rsidRPr="007D1C1E">
        <w:rPr>
          <w:rFonts w:hint="cs"/>
          <w:noProof/>
          <w:rtl/>
        </w:rPr>
        <w:t xml:space="preserve">צריכת הסולר והבנזין </w:t>
      </w:r>
      <w:r w:rsidR="00FC0D39" w:rsidRPr="007D1C1E">
        <w:rPr>
          <w:rFonts w:hint="cs"/>
          <w:noProof/>
          <w:rtl/>
        </w:rPr>
        <w:t>ש</w:t>
      </w:r>
      <w:r w:rsidR="00EF5986" w:rsidRPr="007D1C1E">
        <w:rPr>
          <w:rFonts w:hint="cs"/>
          <w:noProof/>
          <w:rtl/>
        </w:rPr>
        <w:t xml:space="preserve">עלו בשיעורים </w:t>
      </w:r>
      <w:r w:rsidR="00EF5986" w:rsidRPr="006777F5">
        <w:rPr>
          <w:rFonts w:hint="cs"/>
          <w:noProof/>
          <w:spacing w:val="4"/>
          <w:rtl/>
        </w:rPr>
        <w:t>נמוכים של 0.9% ו</w:t>
      </w:r>
      <w:r w:rsidR="006777F5" w:rsidRPr="006777F5">
        <w:rPr>
          <w:rFonts w:hint="cs"/>
          <w:noProof/>
          <w:spacing w:val="4"/>
          <w:rtl/>
        </w:rPr>
        <w:t>-</w:t>
      </w:r>
      <w:r w:rsidR="00EF5986" w:rsidRPr="006777F5">
        <w:rPr>
          <w:rFonts w:hint="cs"/>
          <w:noProof/>
          <w:spacing w:val="4"/>
          <w:rtl/>
        </w:rPr>
        <w:t>0.3%</w:t>
      </w:r>
      <w:r w:rsidR="006777F5" w:rsidRPr="006777F5">
        <w:rPr>
          <w:rFonts w:hint="cs"/>
          <w:noProof/>
          <w:spacing w:val="4"/>
          <w:rtl/>
        </w:rPr>
        <w:t>,</w:t>
      </w:r>
      <w:r w:rsidR="00EF5986" w:rsidRPr="006777F5">
        <w:rPr>
          <w:rFonts w:hint="cs"/>
          <w:noProof/>
          <w:spacing w:val="4"/>
          <w:rtl/>
        </w:rPr>
        <w:t xml:space="preserve"> בהתאמה</w:t>
      </w:r>
      <w:r w:rsidR="00FC0D39" w:rsidRPr="006777F5">
        <w:rPr>
          <w:rFonts w:hint="cs"/>
          <w:noProof/>
          <w:spacing w:val="4"/>
          <w:rtl/>
        </w:rPr>
        <w:t>.</w:t>
      </w:r>
      <w:r w:rsidR="00EF5986" w:rsidRPr="006777F5">
        <w:rPr>
          <w:rFonts w:hint="cs"/>
          <w:noProof/>
          <w:spacing w:val="4"/>
          <w:rtl/>
        </w:rPr>
        <w:t xml:space="preserve"> צריכת </w:t>
      </w:r>
      <w:r w:rsidR="00FC0D39" w:rsidRPr="006777F5">
        <w:rPr>
          <w:rFonts w:hint="cs"/>
          <w:noProof/>
          <w:spacing w:val="4"/>
          <w:rtl/>
        </w:rPr>
        <w:t>ה</w:t>
      </w:r>
      <w:r w:rsidR="00EF5986" w:rsidRPr="006777F5">
        <w:rPr>
          <w:rFonts w:hint="cs"/>
          <w:noProof/>
          <w:spacing w:val="4"/>
          <w:rtl/>
        </w:rPr>
        <w:t xml:space="preserve">מזוט, </w:t>
      </w:r>
      <w:r w:rsidR="00FC0D39" w:rsidRPr="006777F5">
        <w:rPr>
          <w:rFonts w:hint="cs"/>
          <w:noProof/>
          <w:spacing w:val="4"/>
          <w:rtl/>
        </w:rPr>
        <w:t>ה</w:t>
      </w:r>
      <w:r w:rsidR="00EF5986" w:rsidRPr="006777F5">
        <w:rPr>
          <w:rFonts w:hint="cs"/>
          <w:noProof/>
          <w:spacing w:val="4"/>
          <w:rtl/>
        </w:rPr>
        <w:t>קרוסין ו</w:t>
      </w:r>
      <w:r w:rsidR="00FC0D39" w:rsidRPr="006777F5">
        <w:rPr>
          <w:rFonts w:hint="cs"/>
          <w:noProof/>
          <w:spacing w:val="4"/>
          <w:rtl/>
        </w:rPr>
        <w:t xml:space="preserve">הגפ"מ ירדו </w:t>
      </w:r>
      <w:r w:rsidR="007D1C1E" w:rsidRPr="006777F5">
        <w:rPr>
          <w:rFonts w:hint="cs"/>
          <w:noProof/>
          <w:spacing w:val="4"/>
          <w:rtl/>
        </w:rPr>
        <w:t xml:space="preserve">לעומת </w:t>
      </w:r>
      <w:r w:rsidR="00FC0D39" w:rsidRPr="006777F5">
        <w:rPr>
          <w:rFonts w:hint="cs"/>
          <w:noProof/>
          <w:spacing w:val="4"/>
          <w:rtl/>
        </w:rPr>
        <w:t xml:space="preserve">צריכת הנפטא </w:t>
      </w:r>
      <w:r w:rsidR="007D1C1E" w:rsidRPr="006777F5">
        <w:rPr>
          <w:rFonts w:hint="cs"/>
          <w:noProof/>
          <w:spacing w:val="4"/>
          <w:rtl/>
        </w:rPr>
        <w:t>ש</w:t>
      </w:r>
      <w:r w:rsidR="00FC0D39" w:rsidRPr="006777F5">
        <w:rPr>
          <w:rFonts w:hint="cs"/>
          <w:noProof/>
          <w:spacing w:val="4"/>
          <w:rtl/>
        </w:rPr>
        <w:t>עלתה ב</w:t>
      </w:r>
      <w:r w:rsidR="006777F5" w:rsidRPr="006777F5">
        <w:rPr>
          <w:rFonts w:hint="cs"/>
          <w:noProof/>
          <w:spacing w:val="4"/>
          <w:rtl/>
        </w:rPr>
        <w:t>-</w:t>
      </w:r>
      <w:r w:rsidR="00FC0D39" w:rsidRPr="007D1C1E">
        <w:rPr>
          <w:rFonts w:hint="cs"/>
          <w:noProof/>
          <w:rtl/>
        </w:rPr>
        <w:t>8.5%.</w:t>
      </w:r>
    </w:p>
    <w:p w:rsidR="00675819" w:rsidRPr="001F24FA" w:rsidRDefault="00675819" w:rsidP="00337559">
      <w:pPr>
        <w:pStyle w:val="aa"/>
        <w:spacing w:before="240"/>
        <w:rPr>
          <w:rStyle w:val="afa"/>
          <w:rFonts w:cs="Arial"/>
          <w:bCs/>
          <w:rtl/>
        </w:rPr>
      </w:pPr>
      <w:r w:rsidRPr="001F24FA">
        <w:rPr>
          <w:rStyle w:val="afa"/>
          <w:rFonts w:cs="Arial"/>
          <w:bCs/>
          <w:rtl/>
        </w:rPr>
        <w:t>לוח</w:t>
      </w:r>
      <w:r w:rsidR="001D347E" w:rsidRPr="001F24FA">
        <w:rPr>
          <w:rStyle w:val="afa"/>
          <w:rFonts w:cs="Arial"/>
          <w:bCs/>
          <w:rtl/>
        </w:rPr>
        <w:t xml:space="preserve"> </w:t>
      </w:r>
      <w:r w:rsidR="005E7FCA" w:rsidRPr="001F24FA">
        <w:rPr>
          <w:rStyle w:val="afa"/>
          <w:rFonts w:cs="Arial" w:hint="cs"/>
          <w:bCs/>
          <w:rtl/>
        </w:rPr>
        <w:t>ד</w:t>
      </w:r>
      <w:r w:rsidR="00C52B0D" w:rsidRPr="001F24FA">
        <w:rPr>
          <w:rStyle w:val="afa"/>
          <w:rFonts w:cs="Arial" w:hint="cs"/>
          <w:bCs/>
          <w:rtl/>
        </w:rPr>
        <w:t xml:space="preserve"> -</w:t>
      </w:r>
      <w:r w:rsidRPr="001F24FA">
        <w:rPr>
          <w:rStyle w:val="afa"/>
          <w:rFonts w:cs="Arial"/>
          <w:bCs/>
          <w:rtl/>
        </w:rPr>
        <w:t xml:space="preserve"> צריכ</w:t>
      </w:r>
      <w:r w:rsidR="008D67A0" w:rsidRPr="001F24FA">
        <w:rPr>
          <w:rStyle w:val="afa"/>
          <w:rFonts w:cs="Arial"/>
          <w:bCs/>
          <w:rtl/>
        </w:rPr>
        <w:t>ה סופית של</w:t>
      </w:r>
      <w:r w:rsidRPr="001F24FA">
        <w:rPr>
          <w:rStyle w:val="afa"/>
          <w:rFonts w:cs="Arial"/>
          <w:bCs/>
          <w:rtl/>
        </w:rPr>
        <w:t xml:space="preserve"> </w:t>
      </w:r>
      <w:r w:rsidR="008F301F" w:rsidRPr="001F24FA">
        <w:rPr>
          <w:rStyle w:val="afa"/>
          <w:rFonts w:cs="Arial" w:hint="cs"/>
          <w:bCs/>
          <w:rtl/>
        </w:rPr>
        <w:t>מוצרי</w:t>
      </w:r>
      <w:r w:rsidRPr="001F24FA">
        <w:rPr>
          <w:rStyle w:val="afa"/>
          <w:rFonts w:cs="Arial"/>
          <w:bCs/>
          <w:rtl/>
        </w:rPr>
        <w:t xml:space="preserve"> נפט (אלפי </w:t>
      </w:r>
      <w:proofErr w:type="spellStart"/>
      <w:r w:rsidRPr="001F24FA">
        <w:rPr>
          <w:rStyle w:val="afa"/>
          <w:rFonts w:cs="Arial"/>
          <w:bCs/>
          <w:rtl/>
        </w:rPr>
        <w:t>שעט"ן</w:t>
      </w:r>
      <w:proofErr w:type="spellEnd"/>
      <w:r w:rsidRPr="001F24FA">
        <w:rPr>
          <w:rStyle w:val="afa"/>
          <w:rFonts w:cs="Arial"/>
          <w:bCs/>
          <w:rtl/>
        </w:rPr>
        <w:t>)</w:t>
      </w:r>
    </w:p>
    <w:tbl>
      <w:tblPr>
        <w:bidiVisual/>
        <w:tblW w:w="10311" w:type="dxa"/>
        <w:jc w:val="center"/>
        <w:tblInd w:w="63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Caption w:val="לוח ד - צריכה סופית של מוצרי נפט (אלפי שעט&quot;ן)"/>
        <w:tblDescription w:val="טבלה המתארת את הצריכה הסופית של מוצרי הנפט לפי סוג בין השנים 2014-2016"/>
      </w:tblPr>
      <w:tblGrid>
        <w:gridCol w:w="2514"/>
        <w:gridCol w:w="1191"/>
        <w:gridCol w:w="1191"/>
        <w:gridCol w:w="1191"/>
        <w:gridCol w:w="1191"/>
        <w:gridCol w:w="1191"/>
        <w:gridCol w:w="1842"/>
      </w:tblGrid>
      <w:tr w:rsidR="001F24FA" w:rsidRPr="001F24FA" w:rsidTr="006D0C11">
        <w:trPr>
          <w:trHeight w:val="935"/>
          <w:tblHeader/>
          <w:jc w:val="center"/>
        </w:trPr>
        <w:tc>
          <w:tcPr>
            <w:tcW w:w="2514" w:type="dxa"/>
            <w:tcBorders>
              <w:top w:val="double" w:sz="6" w:space="0" w:color="auto"/>
              <w:left w:val="single" w:sz="4" w:space="0" w:color="auto"/>
              <w:bottom w:val="single" w:sz="4" w:space="0" w:color="auto"/>
              <w:right w:val="single" w:sz="4" w:space="0" w:color="auto"/>
            </w:tcBorders>
            <w:noWrap/>
            <w:vAlign w:val="center"/>
          </w:tcPr>
          <w:p w:rsidR="001B1FD6" w:rsidRPr="001F24FA" w:rsidRDefault="001B1FD6" w:rsidP="006777F5">
            <w:pPr>
              <w:pStyle w:val="a0"/>
              <w:spacing w:line="240" w:lineRule="auto"/>
              <w:jc w:val="center"/>
              <w:rPr>
                <w:sz w:val="24"/>
              </w:rPr>
            </w:pPr>
            <w:r w:rsidRPr="001F24FA">
              <w:rPr>
                <w:rFonts w:hint="cs"/>
                <w:sz w:val="24"/>
                <w:rtl/>
              </w:rPr>
              <w:t>צריכה סופית</w:t>
            </w:r>
            <w:r w:rsidR="006777F5">
              <w:rPr>
                <w:sz w:val="24"/>
                <w:rtl/>
              </w:rPr>
              <w:br/>
            </w:r>
            <w:r w:rsidRPr="001F24FA">
              <w:rPr>
                <w:rFonts w:hint="cs"/>
                <w:sz w:val="24"/>
                <w:rtl/>
              </w:rPr>
              <w:t>של מוצרי נפט</w:t>
            </w:r>
          </w:p>
        </w:tc>
        <w:tc>
          <w:tcPr>
            <w:tcW w:w="1191"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sz w:val="24"/>
                <w:rtl/>
              </w:rPr>
              <w:t>201</w:t>
            </w:r>
            <w:r w:rsidRPr="001F24FA">
              <w:rPr>
                <w:rFonts w:hint="cs"/>
                <w:sz w:val="24"/>
                <w:rtl/>
              </w:rPr>
              <w:t>4</w:t>
            </w:r>
          </w:p>
        </w:tc>
        <w:tc>
          <w:tcPr>
            <w:tcW w:w="1191"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sz w:val="24"/>
                <w:rtl/>
              </w:rPr>
              <w:t>201</w:t>
            </w:r>
            <w:r w:rsidRPr="001F24FA">
              <w:rPr>
                <w:rFonts w:hint="cs"/>
                <w:sz w:val="24"/>
                <w:rtl/>
              </w:rPr>
              <w:t>5</w:t>
            </w:r>
          </w:p>
        </w:tc>
        <w:tc>
          <w:tcPr>
            <w:tcW w:w="1191"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rFonts w:hint="cs"/>
                <w:sz w:val="24"/>
                <w:rtl/>
              </w:rPr>
              <w:t>2016</w:t>
            </w:r>
          </w:p>
        </w:tc>
        <w:tc>
          <w:tcPr>
            <w:tcW w:w="1191"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rFonts w:hint="cs"/>
                <w:sz w:val="24"/>
                <w:rtl/>
              </w:rPr>
              <w:t>2017</w:t>
            </w:r>
          </w:p>
        </w:tc>
        <w:tc>
          <w:tcPr>
            <w:tcW w:w="1191"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rFonts w:hint="cs"/>
                <w:sz w:val="24"/>
                <w:rtl/>
              </w:rPr>
              <w:t>2018</w:t>
            </w:r>
          </w:p>
        </w:tc>
        <w:tc>
          <w:tcPr>
            <w:tcW w:w="1842" w:type="dxa"/>
            <w:tcBorders>
              <w:top w:val="double" w:sz="6" w:space="0" w:color="auto"/>
              <w:left w:val="single" w:sz="4" w:space="0" w:color="auto"/>
              <w:bottom w:val="single" w:sz="4" w:space="0" w:color="auto"/>
              <w:right w:val="single" w:sz="4" w:space="0" w:color="auto"/>
            </w:tcBorders>
            <w:vAlign w:val="center"/>
          </w:tcPr>
          <w:p w:rsidR="001B1FD6" w:rsidRPr="001F24FA" w:rsidRDefault="001B1FD6" w:rsidP="006777F5">
            <w:pPr>
              <w:pStyle w:val="a0"/>
              <w:spacing w:line="276" w:lineRule="auto"/>
              <w:ind w:left="227"/>
              <w:jc w:val="center"/>
              <w:rPr>
                <w:sz w:val="24"/>
                <w:rtl/>
              </w:rPr>
            </w:pPr>
            <w:r w:rsidRPr="001F24FA">
              <w:rPr>
                <w:sz w:val="24"/>
                <w:rtl/>
              </w:rPr>
              <w:t>אחוז שינוי</w:t>
            </w:r>
          </w:p>
          <w:p w:rsidR="001B1FD6" w:rsidRPr="001F24FA" w:rsidRDefault="001B1FD6" w:rsidP="006777F5">
            <w:pPr>
              <w:pStyle w:val="a0"/>
              <w:spacing w:line="276" w:lineRule="auto"/>
              <w:ind w:left="227"/>
              <w:jc w:val="center"/>
              <w:rPr>
                <w:sz w:val="24"/>
                <w:rtl/>
              </w:rPr>
            </w:pPr>
            <w:r w:rsidRPr="001F24FA">
              <w:rPr>
                <w:sz w:val="24"/>
                <w:rtl/>
              </w:rPr>
              <w:t>201</w:t>
            </w:r>
            <w:r w:rsidR="00070F12" w:rsidRPr="001F24FA">
              <w:rPr>
                <w:rFonts w:hint="cs"/>
                <w:sz w:val="24"/>
                <w:rtl/>
              </w:rPr>
              <w:t>8</w:t>
            </w:r>
            <w:r w:rsidRPr="001F24FA">
              <w:rPr>
                <w:sz w:val="24"/>
                <w:rtl/>
              </w:rPr>
              <w:t xml:space="preserve"> לעומת 201</w:t>
            </w:r>
            <w:r w:rsidR="00070F12" w:rsidRPr="001F24FA">
              <w:rPr>
                <w:rFonts w:hint="cs"/>
                <w:sz w:val="24"/>
                <w:rtl/>
              </w:rPr>
              <w:t>7</w:t>
            </w:r>
          </w:p>
        </w:tc>
      </w:tr>
      <w:tr w:rsidR="005645A8" w:rsidRPr="001F24FA" w:rsidTr="006D0C11">
        <w:trPr>
          <w:trHeight w:val="373"/>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C023A7">
            <w:pPr>
              <w:pStyle w:val="a0"/>
              <w:rPr>
                <w:sz w:val="24"/>
              </w:rPr>
            </w:pPr>
            <w:r w:rsidRPr="001F24FA">
              <w:rPr>
                <w:rFonts w:hint="cs"/>
                <w:sz w:val="24"/>
                <w:rtl/>
              </w:rPr>
              <w:t>מוצרי</w:t>
            </w:r>
            <w:r w:rsidRPr="001F24FA">
              <w:rPr>
                <w:sz w:val="24"/>
                <w:rtl/>
              </w:rPr>
              <w:t xml:space="preserve"> נפט - סך הכל</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725937" w:rsidRDefault="005645A8" w:rsidP="005645A8">
            <w:pPr>
              <w:jc w:val="center"/>
            </w:pPr>
            <w:r w:rsidRPr="00725937">
              <w:t>8,196.4</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725937" w:rsidRDefault="005645A8" w:rsidP="005645A8">
            <w:pPr>
              <w:jc w:val="center"/>
            </w:pPr>
            <w:r w:rsidRPr="00725937">
              <w:t>8,451.7</w:t>
            </w:r>
          </w:p>
        </w:tc>
        <w:tc>
          <w:tcPr>
            <w:tcW w:w="1191" w:type="dxa"/>
            <w:tcBorders>
              <w:top w:val="nil"/>
              <w:left w:val="single" w:sz="4" w:space="0" w:color="auto"/>
              <w:bottom w:val="single" w:sz="4" w:space="0" w:color="auto"/>
              <w:right w:val="single" w:sz="4" w:space="0" w:color="auto"/>
            </w:tcBorders>
            <w:vAlign w:val="center"/>
          </w:tcPr>
          <w:p w:rsidR="005645A8" w:rsidRPr="00725937" w:rsidRDefault="005645A8" w:rsidP="005645A8">
            <w:pPr>
              <w:jc w:val="center"/>
            </w:pPr>
            <w:r w:rsidRPr="00725937">
              <w:t>8,696.5</w:t>
            </w:r>
          </w:p>
        </w:tc>
        <w:tc>
          <w:tcPr>
            <w:tcW w:w="1191" w:type="dxa"/>
            <w:tcBorders>
              <w:top w:val="nil"/>
              <w:left w:val="single" w:sz="4" w:space="0" w:color="auto"/>
              <w:bottom w:val="single" w:sz="4" w:space="0" w:color="auto"/>
              <w:right w:val="single" w:sz="4" w:space="0" w:color="auto"/>
            </w:tcBorders>
            <w:vAlign w:val="center"/>
          </w:tcPr>
          <w:p w:rsidR="005645A8" w:rsidRPr="00725937" w:rsidRDefault="005645A8" w:rsidP="005645A8">
            <w:pPr>
              <w:jc w:val="center"/>
            </w:pPr>
            <w:r w:rsidRPr="00725937">
              <w:t>8,910.4</w:t>
            </w:r>
          </w:p>
        </w:tc>
        <w:tc>
          <w:tcPr>
            <w:tcW w:w="1191" w:type="dxa"/>
            <w:tcBorders>
              <w:top w:val="nil"/>
              <w:left w:val="single" w:sz="4" w:space="0" w:color="auto"/>
              <w:bottom w:val="single" w:sz="4" w:space="0" w:color="auto"/>
              <w:right w:val="single" w:sz="4" w:space="0" w:color="auto"/>
            </w:tcBorders>
            <w:vAlign w:val="center"/>
          </w:tcPr>
          <w:p w:rsidR="005645A8" w:rsidRDefault="005645A8" w:rsidP="005645A8">
            <w:pPr>
              <w:jc w:val="center"/>
            </w:pPr>
            <w:r w:rsidRPr="00725937">
              <w:t>8,956.4</w:t>
            </w:r>
          </w:p>
        </w:tc>
        <w:tc>
          <w:tcPr>
            <w:tcW w:w="1842" w:type="dxa"/>
            <w:tcBorders>
              <w:top w:val="nil"/>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0.5%</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C023A7">
            <w:pPr>
              <w:pStyle w:val="a0"/>
              <w:rPr>
                <w:sz w:val="24"/>
                <w:rtl/>
              </w:rPr>
            </w:pPr>
            <w:r w:rsidRPr="001F24FA">
              <w:rPr>
                <w:sz w:val="24"/>
                <w:rtl/>
              </w:rPr>
              <w:t xml:space="preserve">סולר </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2,509.4</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2,629.7</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2,707.9</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2,786.2</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2,811.8</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0.9%</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C023A7">
            <w:pPr>
              <w:pStyle w:val="a0"/>
              <w:rPr>
                <w:sz w:val="24"/>
                <w:rtl/>
              </w:rPr>
            </w:pPr>
            <w:r w:rsidRPr="001F24FA">
              <w:rPr>
                <w:sz w:val="24"/>
                <w:rtl/>
              </w:rPr>
              <w:t>בנזין</w:t>
            </w:r>
            <w:r w:rsidRPr="001F24FA">
              <w:rPr>
                <w:rFonts w:hint="cs"/>
                <w:sz w:val="24"/>
                <w:rtl/>
              </w:rPr>
              <w:t xml:space="preserve"> לרכב </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2,797.2</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2,968.5</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3,140.5</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3,210.4</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3,218.9</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0.3%</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C023A7">
            <w:pPr>
              <w:pStyle w:val="a0"/>
              <w:rPr>
                <w:sz w:val="24"/>
                <w:rtl/>
              </w:rPr>
            </w:pPr>
            <w:r w:rsidRPr="001F24FA">
              <w:rPr>
                <w:sz w:val="24"/>
                <w:rtl/>
              </w:rPr>
              <w:t>מזוט</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302.0</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275.2</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259.7</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224.9</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188.8</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-16.0%</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bottom"/>
          </w:tcPr>
          <w:p w:rsidR="005645A8" w:rsidRPr="001F24FA" w:rsidRDefault="005645A8" w:rsidP="00C023A7">
            <w:pPr>
              <w:pStyle w:val="a0"/>
              <w:rPr>
                <w:sz w:val="24"/>
              </w:rPr>
            </w:pPr>
            <w:r w:rsidRPr="001F24FA">
              <w:rPr>
                <w:sz w:val="24"/>
                <w:rtl/>
              </w:rPr>
              <w:t>קרוסין</w:t>
            </w:r>
            <w:r w:rsidRPr="001F24FA">
              <w:rPr>
                <w:rFonts w:hint="cs"/>
                <w:sz w:val="24"/>
                <w:rtl/>
              </w:rPr>
              <w:t xml:space="preserve"> ודלק סילוני</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311.0</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294.0</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292.9</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296.1</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288.0</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-2.7%</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6D0C11">
            <w:pPr>
              <w:pStyle w:val="a0"/>
              <w:jc w:val="left"/>
              <w:rPr>
                <w:sz w:val="24"/>
              </w:rPr>
            </w:pPr>
            <w:r w:rsidRPr="001F24FA">
              <w:rPr>
                <w:sz w:val="24"/>
                <w:rtl/>
              </w:rPr>
              <w:t>נפטא</w:t>
            </w:r>
            <w:r w:rsidR="006D0C11">
              <w:rPr>
                <w:sz w:val="24"/>
              </w:rPr>
              <w:t xml:space="preserve"> </w:t>
            </w:r>
            <w:r w:rsidRPr="001F24FA">
              <w:rPr>
                <w:rFonts w:hint="cs"/>
                <w:sz w:val="24"/>
                <w:rtl/>
              </w:rPr>
              <w:t>(ובנזין תעשיית</w:t>
            </w:r>
            <w:r w:rsidRPr="001F24FA">
              <w:rPr>
                <w:rFonts w:hint="eastAsia"/>
                <w:sz w:val="24"/>
                <w:rtl/>
              </w:rPr>
              <w:t>י</w:t>
            </w:r>
            <w:r w:rsidRPr="001F24FA">
              <w:rPr>
                <w:rFonts w:hint="cs"/>
                <w:sz w:val="24"/>
                <w:rtl/>
              </w:rPr>
              <w:t>)</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961.1</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974.4</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964.8</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902.2</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978.6</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8.5%</w:t>
            </w:r>
          </w:p>
        </w:tc>
      </w:tr>
      <w:tr w:rsidR="005645A8" w:rsidRPr="001F24FA" w:rsidTr="006D0C11">
        <w:trPr>
          <w:trHeight w:val="255"/>
          <w:jc w:val="center"/>
        </w:trPr>
        <w:tc>
          <w:tcPr>
            <w:tcW w:w="2514" w:type="dxa"/>
            <w:tcBorders>
              <w:top w:val="single" w:sz="4" w:space="0" w:color="auto"/>
              <w:left w:val="single" w:sz="4" w:space="0" w:color="auto"/>
              <w:bottom w:val="single" w:sz="4" w:space="0" w:color="auto"/>
              <w:right w:val="single" w:sz="4" w:space="0" w:color="auto"/>
            </w:tcBorders>
            <w:noWrap/>
            <w:vAlign w:val="center"/>
          </w:tcPr>
          <w:p w:rsidR="005645A8" w:rsidRPr="001F24FA" w:rsidRDefault="005645A8" w:rsidP="00C023A7">
            <w:pPr>
              <w:pStyle w:val="a0"/>
              <w:rPr>
                <w:sz w:val="24"/>
              </w:rPr>
            </w:pPr>
            <w:r w:rsidRPr="001F24FA">
              <w:rPr>
                <w:sz w:val="24"/>
                <w:rtl/>
              </w:rPr>
              <w:t>גפ"מ</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482.5</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480.6</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502.6</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505.8</w:t>
            </w:r>
          </w:p>
        </w:tc>
        <w:tc>
          <w:tcPr>
            <w:tcW w:w="1191" w:type="dxa"/>
            <w:tcBorders>
              <w:top w:val="single" w:sz="4" w:space="0" w:color="auto"/>
              <w:left w:val="single" w:sz="4" w:space="0" w:color="auto"/>
              <w:bottom w:val="single" w:sz="4" w:space="0" w:color="auto"/>
              <w:right w:val="single" w:sz="4" w:space="0" w:color="auto"/>
            </w:tcBorders>
            <w:vAlign w:val="center"/>
          </w:tcPr>
          <w:p w:rsidR="005645A8" w:rsidRPr="00FE7619" w:rsidRDefault="005645A8" w:rsidP="005645A8">
            <w:pPr>
              <w:jc w:val="center"/>
            </w:pPr>
            <w:r w:rsidRPr="00FE7619">
              <w:t>482.7</w:t>
            </w:r>
          </w:p>
        </w:tc>
        <w:tc>
          <w:tcPr>
            <w:tcW w:w="1842" w:type="dxa"/>
            <w:tcBorders>
              <w:top w:val="single" w:sz="4" w:space="0" w:color="auto"/>
              <w:left w:val="single" w:sz="4" w:space="0" w:color="auto"/>
              <w:bottom w:val="single" w:sz="4" w:space="0" w:color="auto"/>
              <w:right w:val="single" w:sz="4" w:space="0" w:color="auto"/>
            </w:tcBorders>
            <w:vAlign w:val="center"/>
          </w:tcPr>
          <w:p w:rsidR="005645A8" w:rsidRPr="001F24FA" w:rsidRDefault="005645A8" w:rsidP="001F24FA">
            <w:pPr>
              <w:jc w:val="center"/>
            </w:pPr>
            <w:r w:rsidRPr="001F24FA">
              <w:t>-4.6%</w:t>
            </w:r>
          </w:p>
        </w:tc>
      </w:tr>
      <w:tr w:rsidR="005645A8" w:rsidRPr="001F24FA" w:rsidTr="006D0C11">
        <w:trPr>
          <w:trHeight w:val="410"/>
          <w:jc w:val="center"/>
        </w:trPr>
        <w:tc>
          <w:tcPr>
            <w:tcW w:w="2514" w:type="dxa"/>
            <w:tcBorders>
              <w:top w:val="single" w:sz="4" w:space="0" w:color="auto"/>
              <w:left w:val="single" w:sz="4" w:space="0" w:color="auto"/>
              <w:bottom w:val="double" w:sz="6" w:space="0" w:color="auto"/>
              <w:right w:val="single" w:sz="4" w:space="0" w:color="auto"/>
            </w:tcBorders>
            <w:noWrap/>
            <w:vAlign w:val="center"/>
          </w:tcPr>
          <w:p w:rsidR="005645A8" w:rsidRPr="001F24FA" w:rsidRDefault="005645A8" w:rsidP="00C023A7">
            <w:pPr>
              <w:pStyle w:val="a0"/>
              <w:rPr>
                <w:sz w:val="24"/>
                <w:rtl/>
              </w:rPr>
            </w:pPr>
            <w:r w:rsidRPr="001F24FA">
              <w:rPr>
                <w:sz w:val="24"/>
                <w:rtl/>
              </w:rPr>
              <w:t>מוצרי נפט אחרים</w:t>
            </w:r>
          </w:p>
        </w:tc>
        <w:tc>
          <w:tcPr>
            <w:tcW w:w="1191" w:type="dxa"/>
            <w:tcBorders>
              <w:top w:val="single" w:sz="4" w:space="0" w:color="auto"/>
              <w:left w:val="single" w:sz="4" w:space="0" w:color="auto"/>
              <w:bottom w:val="double" w:sz="6" w:space="0" w:color="auto"/>
              <w:right w:val="single" w:sz="4" w:space="0" w:color="auto"/>
            </w:tcBorders>
            <w:vAlign w:val="center"/>
          </w:tcPr>
          <w:p w:rsidR="005645A8" w:rsidRPr="00FE7619" w:rsidRDefault="005645A8" w:rsidP="005645A8">
            <w:pPr>
              <w:jc w:val="center"/>
            </w:pPr>
            <w:r w:rsidRPr="00FE7619">
              <w:t>833.2</w:t>
            </w:r>
          </w:p>
        </w:tc>
        <w:tc>
          <w:tcPr>
            <w:tcW w:w="1191" w:type="dxa"/>
            <w:tcBorders>
              <w:top w:val="single" w:sz="4" w:space="0" w:color="auto"/>
              <w:left w:val="single" w:sz="4" w:space="0" w:color="auto"/>
              <w:bottom w:val="double" w:sz="6" w:space="0" w:color="auto"/>
              <w:right w:val="single" w:sz="4" w:space="0" w:color="auto"/>
            </w:tcBorders>
            <w:vAlign w:val="center"/>
          </w:tcPr>
          <w:p w:rsidR="005645A8" w:rsidRPr="00FE7619" w:rsidRDefault="005645A8" w:rsidP="005645A8">
            <w:pPr>
              <w:jc w:val="center"/>
            </w:pPr>
            <w:r w:rsidRPr="00FE7619">
              <w:t>829.3</w:t>
            </w:r>
          </w:p>
        </w:tc>
        <w:tc>
          <w:tcPr>
            <w:tcW w:w="1191" w:type="dxa"/>
            <w:tcBorders>
              <w:top w:val="single" w:sz="4" w:space="0" w:color="auto"/>
              <w:left w:val="single" w:sz="4" w:space="0" w:color="auto"/>
              <w:bottom w:val="double" w:sz="6" w:space="0" w:color="auto"/>
              <w:right w:val="single" w:sz="4" w:space="0" w:color="auto"/>
            </w:tcBorders>
            <w:vAlign w:val="center"/>
          </w:tcPr>
          <w:p w:rsidR="005645A8" w:rsidRPr="00FE7619" w:rsidRDefault="005645A8" w:rsidP="005645A8">
            <w:pPr>
              <w:jc w:val="center"/>
            </w:pPr>
            <w:r w:rsidRPr="00FE7619">
              <w:t>828.0</w:t>
            </w:r>
          </w:p>
        </w:tc>
        <w:tc>
          <w:tcPr>
            <w:tcW w:w="1191" w:type="dxa"/>
            <w:tcBorders>
              <w:top w:val="single" w:sz="4" w:space="0" w:color="auto"/>
              <w:left w:val="single" w:sz="4" w:space="0" w:color="auto"/>
              <w:bottom w:val="double" w:sz="6" w:space="0" w:color="auto"/>
              <w:right w:val="single" w:sz="4" w:space="0" w:color="auto"/>
            </w:tcBorders>
            <w:vAlign w:val="center"/>
          </w:tcPr>
          <w:p w:rsidR="005645A8" w:rsidRPr="00FE7619" w:rsidRDefault="005645A8" w:rsidP="005645A8">
            <w:pPr>
              <w:jc w:val="center"/>
            </w:pPr>
            <w:r w:rsidRPr="00FE7619">
              <w:t>984.9</w:t>
            </w:r>
          </w:p>
        </w:tc>
        <w:tc>
          <w:tcPr>
            <w:tcW w:w="1191" w:type="dxa"/>
            <w:tcBorders>
              <w:top w:val="single" w:sz="4" w:space="0" w:color="auto"/>
              <w:left w:val="single" w:sz="4" w:space="0" w:color="auto"/>
              <w:bottom w:val="double" w:sz="6" w:space="0" w:color="auto"/>
              <w:right w:val="single" w:sz="4" w:space="0" w:color="auto"/>
            </w:tcBorders>
            <w:vAlign w:val="center"/>
          </w:tcPr>
          <w:p w:rsidR="005645A8" w:rsidRDefault="005645A8" w:rsidP="005645A8">
            <w:pPr>
              <w:jc w:val="center"/>
            </w:pPr>
            <w:r w:rsidRPr="00FE7619">
              <w:t>987.5</w:t>
            </w:r>
          </w:p>
        </w:tc>
        <w:tc>
          <w:tcPr>
            <w:tcW w:w="1842" w:type="dxa"/>
            <w:tcBorders>
              <w:top w:val="single" w:sz="4" w:space="0" w:color="auto"/>
              <w:left w:val="single" w:sz="4" w:space="0" w:color="auto"/>
              <w:bottom w:val="double" w:sz="6" w:space="0" w:color="auto"/>
              <w:right w:val="single" w:sz="4" w:space="0" w:color="auto"/>
            </w:tcBorders>
            <w:vAlign w:val="center"/>
          </w:tcPr>
          <w:p w:rsidR="005645A8" w:rsidRPr="001F24FA" w:rsidRDefault="005645A8" w:rsidP="001F24FA">
            <w:pPr>
              <w:jc w:val="center"/>
            </w:pPr>
            <w:r w:rsidRPr="001F24FA">
              <w:t>0.3%</w:t>
            </w:r>
          </w:p>
        </w:tc>
      </w:tr>
    </w:tbl>
    <w:p w:rsidR="004940F5" w:rsidRPr="00955058" w:rsidRDefault="004940F5">
      <w:pPr>
        <w:bidi w:val="0"/>
        <w:spacing w:line="240" w:lineRule="auto"/>
        <w:ind w:left="0" w:right="0"/>
        <w:rPr>
          <w:bCs/>
          <w:color w:val="FF0000"/>
        </w:rPr>
      </w:pPr>
      <w:r w:rsidRPr="00955058">
        <w:rPr>
          <w:color w:val="FF0000"/>
          <w:rtl/>
        </w:rPr>
        <w:br w:type="page"/>
      </w:r>
    </w:p>
    <w:p w:rsidR="00EB5FBB" w:rsidRPr="001F24FA" w:rsidRDefault="00202ACC" w:rsidP="00703DE4">
      <w:pPr>
        <w:pStyle w:val="3"/>
        <w:rPr>
          <w:rtl/>
        </w:rPr>
      </w:pPr>
      <w:r w:rsidRPr="001F24FA">
        <w:rPr>
          <w:rtl/>
        </w:rPr>
        <w:lastRenderedPageBreak/>
        <w:t xml:space="preserve">יצוא </w:t>
      </w:r>
      <w:r w:rsidR="008F301F" w:rsidRPr="001F24FA">
        <w:rPr>
          <w:rFonts w:hint="cs"/>
          <w:rtl/>
        </w:rPr>
        <w:t>מוצרי</w:t>
      </w:r>
      <w:r w:rsidR="00A67854" w:rsidRPr="001F24FA">
        <w:rPr>
          <w:rtl/>
        </w:rPr>
        <w:t xml:space="preserve"> נפט</w:t>
      </w:r>
    </w:p>
    <w:p w:rsidR="0075089E" w:rsidRPr="001F24FA" w:rsidRDefault="00633838" w:rsidP="00EC5944">
      <w:pPr>
        <w:rPr>
          <w:noProof/>
          <w:rtl/>
        </w:rPr>
      </w:pPr>
      <w:r w:rsidRPr="001F24FA">
        <w:rPr>
          <w:noProof/>
          <w:rtl/>
        </w:rPr>
        <w:t xml:space="preserve">יצוא </w:t>
      </w:r>
      <w:r w:rsidR="00A67854" w:rsidRPr="001F24FA">
        <w:rPr>
          <w:noProof/>
          <w:rtl/>
        </w:rPr>
        <w:t xml:space="preserve">מוצרי </w:t>
      </w:r>
      <w:r w:rsidR="004E0811" w:rsidRPr="001F24FA">
        <w:rPr>
          <w:rFonts w:hint="cs"/>
          <w:noProof/>
          <w:rtl/>
        </w:rPr>
        <w:t>ה</w:t>
      </w:r>
      <w:r w:rsidR="00A67854" w:rsidRPr="001F24FA">
        <w:rPr>
          <w:noProof/>
          <w:rtl/>
        </w:rPr>
        <w:t xml:space="preserve">נפט </w:t>
      </w:r>
      <w:r w:rsidR="00EF570A" w:rsidRPr="001F24FA">
        <w:rPr>
          <w:rFonts w:hint="cs"/>
          <w:noProof/>
          <w:rtl/>
        </w:rPr>
        <w:t>עלה</w:t>
      </w:r>
      <w:r w:rsidR="00BD4E87" w:rsidRPr="001F24FA">
        <w:rPr>
          <w:noProof/>
          <w:rtl/>
        </w:rPr>
        <w:t xml:space="preserve"> </w:t>
      </w:r>
      <w:r w:rsidR="00764193" w:rsidRPr="001F24FA">
        <w:rPr>
          <w:noProof/>
          <w:rtl/>
        </w:rPr>
        <w:t>בשיעור</w:t>
      </w:r>
      <w:r w:rsidRPr="001F24FA">
        <w:rPr>
          <w:noProof/>
          <w:rtl/>
        </w:rPr>
        <w:t xml:space="preserve"> </w:t>
      </w:r>
      <w:r w:rsidR="00A31F78" w:rsidRPr="001F24FA">
        <w:rPr>
          <w:noProof/>
          <w:rtl/>
        </w:rPr>
        <w:t xml:space="preserve">של </w:t>
      </w:r>
      <w:r w:rsidR="00454B84" w:rsidRPr="001F24FA">
        <w:rPr>
          <w:rFonts w:hint="cs"/>
          <w:noProof/>
          <w:rtl/>
        </w:rPr>
        <w:t>4.2</w:t>
      </w:r>
      <w:r w:rsidR="00A31F78" w:rsidRPr="001F24FA">
        <w:rPr>
          <w:noProof/>
          <w:rtl/>
        </w:rPr>
        <w:t xml:space="preserve">% </w:t>
      </w:r>
      <w:r w:rsidR="008370B9" w:rsidRPr="001F24FA">
        <w:rPr>
          <w:noProof/>
          <w:rtl/>
        </w:rPr>
        <w:t xml:space="preserve">בשנת </w:t>
      </w:r>
      <w:r w:rsidR="00BD4E87" w:rsidRPr="001F24FA">
        <w:rPr>
          <w:noProof/>
          <w:rtl/>
        </w:rPr>
        <w:t>201</w:t>
      </w:r>
      <w:r w:rsidR="00454B84" w:rsidRPr="001F24FA">
        <w:rPr>
          <w:rFonts w:hint="cs"/>
          <w:noProof/>
          <w:rtl/>
        </w:rPr>
        <w:t>8</w:t>
      </w:r>
      <w:r w:rsidR="00BD4E87" w:rsidRPr="001F24FA">
        <w:rPr>
          <w:noProof/>
          <w:rtl/>
        </w:rPr>
        <w:t xml:space="preserve"> </w:t>
      </w:r>
      <w:r w:rsidR="008370B9" w:rsidRPr="001F24FA">
        <w:rPr>
          <w:noProof/>
          <w:rtl/>
        </w:rPr>
        <w:t xml:space="preserve">לעומת </w:t>
      </w:r>
      <w:r w:rsidR="00BD4E87" w:rsidRPr="001F24FA">
        <w:rPr>
          <w:noProof/>
          <w:rtl/>
        </w:rPr>
        <w:t>201</w:t>
      </w:r>
      <w:r w:rsidR="00454B84" w:rsidRPr="001F24FA">
        <w:rPr>
          <w:rFonts w:hint="cs"/>
          <w:noProof/>
          <w:rtl/>
        </w:rPr>
        <w:t>7</w:t>
      </w:r>
      <w:r w:rsidR="00BD4E87" w:rsidRPr="001F24FA">
        <w:rPr>
          <w:noProof/>
          <w:rtl/>
        </w:rPr>
        <w:t xml:space="preserve"> </w:t>
      </w:r>
      <w:r w:rsidR="00376E45" w:rsidRPr="001F24FA">
        <w:rPr>
          <w:noProof/>
          <w:rtl/>
        </w:rPr>
        <w:t>ו</w:t>
      </w:r>
      <w:r w:rsidR="00156998" w:rsidRPr="001F24FA">
        <w:rPr>
          <w:noProof/>
          <w:rtl/>
        </w:rPr>
        <w:t xml:space="preserve">הסתכם </w:t>
      </w:r>
      <w:r w:rsidR="00376E45" w:rsidRPr="001F24FA">
        <w:rPr>
          <w:noProof/>
          <w:rtl/>
        </w:rPr>
        <w:t>ב-</w:t>
      </w:r>
      <w:r w:rsidR="00454B84" w:rsidRPr="001F24FA">
        <w:rPr>
          <w:rFonts w:hint="cs"/>
          <w:noProof/>
          <w:rtl/>
        </w:rPr>
        <w:t>6</w:t>
      </w:r>
      <w:r w:rsidR="004E0811" w:rsidRPr="001F24FA">
        <w:rPr>
          <w:rFonts w:hint="cs"/>
          <w:noProof/>
          <w:rtl/>
        </w:rPr>
        <w:t>,</w:t>
      </w:r>
      <w:r w:rsidR="00454B84" w:rsidRPr="001F24FA">
        <w:rPr>
          <w:rFonts w:hint="cs"/>
          <w:noProof/>
          <w:rtl/>
        </w:rPr>
        <w:t>058</w:t>
      </w:r>
      <w:r w:rsidR="00156998" w:rsidRPr="001F24FA">
        <w:rPr>
          <w:noProof/>
          <w:rtl/>
        </w:rPr>
        <w:t xml:space="preserve"> אלפי שעט"ן</w:t>
      </w:r>
      <w:r w:rsidR="0075089E" w:rsidRPr="001F24FA">
        <w:rPr>
          <w:rFonts w:hint="cs"/>
          <w:noProof/>
          <w:rtl/>
        </w:rPr>
        <w:t xml:space="preserve">. </w:t>
      </w:r>
    </w:p>
    <w:p w:rsidR="00DF7A2D" w:rsidRPr="001F24FA" w:rsidRDefault="0075089E" w:rsidP="00EC5944">
      <w:pPr>
        <w:rPr>
          <w:noProof/>
          <w:rtl/>
        </w:rPr>
      </w:pPr>
      <w:r w:rsidRPr="001F24FA">
        <w:rPr>
          <w:rFonts w:hint="cs"/>
          <w:noProof/>
          <w:rtl/>
        </w:rPr>
        <w:t>ה</w:t>
      </w:r>
      <w:r w:rsidR="00EF570A" w:rsidRPr="001F24FA">
        <w:rPr>
          <w:rFonts w:hint="cs"/>
          <w:noProof/>
          <w:rtl/>
        </w:rPr>
        <w:t>גידול</w:t>
      </w:r>
      <w:r w:rsidR="00A2699F" w:rsidRPr="001F24FA">
        <w:rPr>
          <w:rFonts w:hint="cs"/>
          <w:noProof/>
          <w:rtl/>
        </w:rPr>
        <w:t xml:space="preserve"> הבולט חל ב</w:t>
      </w:r>
      <w:r w:rsidR="004C5D02" w:rsidRPr="001F24FA">
        <w:rPr>
          <w:rFonts w:hint="cs"/>
          <w:noProof/>
          <w:rtl/>
        </w:rPr>
        <w:t xml:space="preserve">יצוא </w:t>
      </w:r>
      <w:r w:rsidR="00454B84" w:rsidRPr="001F24FA">
        <w:rPr>
          <w:rFonts w:hint="cs"/>
          <w:noProof/>
          <w:rtl/>
        </w:rPr>
        <w:t>בנזין</w:t>
      </w:r>
      <w:r w:rsidR="00A2699F" w:rsidRPr="001F24FA">
        <w:rPr>
          <w:rFonts w:hint="cs"/>
          <w:noProof/>
          <w:rtl/>
        </w:rPr>
        <w:t xml:space="preserve"> </w:t>
      </w:r>
      <w:r w:rsidR="00C43E5A" w:rsidRPr="001F24FA">
        <w:rPr>
          <w:rFonts w:hint="cs"/>
          <w:noProof/>
          <w:rtl/>
        </w:rPr>
        <w:t>(</w:t>
      </w:r>
      <w:r w:rsidR="00A2699F" w:rsidRPr="001F24FA">
        <w:rPr>
          <w:rFonts w:hint="cs"/>
          <w:noProof/>
          <w:rtl/>
        </w:rPr>
        <w:t xml:space="preserve">בשיעור </w:t>
      </w:r>
      <w:r w:rsidR="00454B84" w:rsidRPr="001F24FA">
        <w:rPr>
          <w:rFonts w:hint="cs"/>
          <w:noProof/>
          <w:rtl/>
        </w:rPr>
        <w:t>70.</w:t>
      </w:r>
      <w:r w:rsidR="0060575D">
        <w:rPr>
          <w:rFonts w:hint="cs"/>
          <w:noProof/>
          <w:rtl/>
        </w:rPr>
        <w:t>0</w:t>
      </w:r>
      <w:r w:rsidR="00A2699F" w:rsidRPr="001F24FA">
        <w:rPr>
          <w:rFonts w:hint="cs"/>
          <w:noProof/>
          <w:rtl/>
        </w:rPr>
        <w:t>%</w:t>
      </w:r>
      <w:r w:rsidR="00EC5944">
        <w:rPr>
          <w:rFonts w:hint="cs"/>
          <w:noProof/>
          <w:rtl/>
        </w:rPr>
        <w:t>).</w:t>
      </w:r>
      <w:r w:rsidR="00A2699F" w:rsidRPr="001F24FA">
        <w:rPr>
          <w:rFonts w:hint="cs"/>
          <w:noProof/>
          <w:rtl/>
        </w:rPr>
        <w:t xml:space="preserve"> </w:t>
      </w:r>
      <w:r w:rsidR="00EC5944">
        <w:rPr>
          <w:rFonts w:hint="cs"/>
          <w:noProof/>
          <w:rtl/>
        </w:rPr>
        <w:t>ה</w:t>
      </w:r>
      <w:r w:rsidR="004C5D02" w:rsidRPr="001F24FA">
        <w:rPr>
          <w:rFonts w:hint="cs"/>
          <w:noProof/>
          <w:rtl/>
        </w:rPr>
        <w:t xml:space="preserve">עליות ביצוא </w:t>
      </w:r>
      <w:r w:rsidR="001F24FA" w:rsidRPr="001F24FA">
        <w:rPr>
          <w:rFonts w:hint="cs"/>
          <w:noProof/>
          <w:rtl/>
        </w:rPr>
        <w:t>הנפטא</w:t>
      </w:r>
      <w:r w:rsidR="00234923" w:rsidRPr="001F24FA">
        <w:rPr>
          <w:rFonts w:hint="cs"/>
          <w:noProof/>
          <w:rtl/>
        </w:rPr>
        <w:t xml:space="preserve">, </w:t>
      </w:r>
      <w:r w:rsidR="004C5D02" w:rsidRPr="001F24FA">
        <w:rPr>
          <w:rFonts w:hint="cs"/>
          <w:noProof/>
          <w:rtl/>
        </w:rPr>
        <w:t>ה</w:t>
      </w:r>
      <w:r w:rsidR="00234923" w:rsidRPr="001F24FA">
        <w:rPr>
          <w:rFonts w:hint="cs"/>
          <w:noProof/>
          <w:rtl/>
        </w:rPr>
        <w:t>קרוסין וה</w:t>
      </w:r>
      <w:r w:rsidR="004C5D02" w:rsidRPr="001F24FA">
        <w:rPr>
          <w:rFonts w:hint="cs"/>
          <w:noProof/>
          <w:rtl/>
        </w:rPr>
        <w:t>סולר בשיעורים נמוכים יותר (</w:t>
      </w:r>
      <w:r w:rsidR="00234923" w:rsidRPr="001F24FA">
        <w:rPr>
          <w:rFonts w:hint="cs"/>
          <w:noProof/>
          <w:rtl/>
        </w:rPr>
        <w:t>27.4% ,</w:t>
      </w:r>
      <w:r w:rsidR="004C5D02" w:rsidRPr="001F24FA">
        <w:rPr>
          <w:rFonts w:hint="cs"/>
          <w:noProof/>
          <w:rtl/>
        </w:rPr>
        <w:t xml:space="preserve"> </w:t>
      </w:r>
      <w:r w:rsidR="00234923" w:rsidRPr="001F24FA">
        <w:rPr>
          <w:rFonts w:hint="cs"/>
          <w:noProof/>
          <w:rtl/>
        </w:rPr>
        <w:t>14.4</w:t>
      </w:r>
      <w:r w:rsidR="004C5D02" w:rsidRPr="001F24FA">
        <w:rPr>
          <w:rFonts w:hint="cs"/>
          <w:noProof/>
          <w:rtl/>
        </w:rPr>
        <w:t xml:space="preserve">% </w:t>
      </w:r>
      <w:r w:rsidR="00234923" w:rsidRPr="001F24FA">
        <w:rPr>
          <w:rFonts w:hint="cs"/>
          <w:noProof/>
          <w:rtl/>
        </w:rPr>
        <w:t>ו 7.</w:t>
      </w:r>
      <w:r w:rsidR="001F24FA" w:rsidRPr="001F24FA">
        <w:rPr>
          <w:rFonts w:hint="cs"/>
          <w:noProof/>
          <w:rtl/>
        </w:rPr>
        <w:t>3</w:t>
      </w:r>
      <w:r w:rsidR="00234923" w:rsidRPr="001F24FA">
        <w:rPr>
          <w:rFonts w:hint="cs"/>
          <w:noProof/>
          <w:rtl/>
        </w:rPr>
        <w:t xml:space="preserve">% </w:t>
      </w:r>
      <w:r w:rsidR="004C5D02" w:rsidRPr="001F24FA">
        <w:rPr>
          <w:rFonts w:hint="cs"/>
          <w:noProof/>
          <w:rtl/>
        </w:rPr>
        <w:t xml:space="preserve">בהתאמה) היו תרומה </w:t>
      </w:r>
      <w:r w:rsidR="00C13F1E" w:rsidRPr="001F24FA">
        <w:rPr>
          <w:rFonts w:hint="cs"/>
          <w:noProof/>
          <w:rtl/>
        </w:rPr>
        <w:t>נוספת</w:t>
      </w:r>
      <w:r w:rsidR="004C5D02" w:rsidRPr="001F24FA">
        <w:rPr>
          <w:rFonts w:hint="cs"/>
          <w:noProof/>
          <w:rtl/>
        </w:rPr>
        <w:t xml:space="preserve"> לעלייה זו</w:t>
      </w:r>
      <w:r w:rsidR="00C13F1E" w:rsidRPr="001F24FA">
        <w:rPr>
          <w:rFonts w:hint="cs"/>
          <w:noProof/>
          <w:rtl/>
        </w:rPr>
        <w:t>.</w:t>
      </w:r>
      <w:r w:rsidR="004C5D02" w:rsidRPr="001F24FA">
        <w:rPr>
          <w:rFonts w:hint="cs"/>
          <w:noProof/>
          <w:rtl/>
        </w:rPr>
        <w:t xml:space="preserve"> </w:t>
      </w:r>
      <w:r w:rsidR="00957240" w:rsidRPr="001F24FA">
        <w:rPr>
          <w:rFonts w:hint="cs"/>
          <w:noProof/>
          <w:rtl/>
        </w:rPr>
        <w:t>את ה</w:t>
      </w:r>
      <w:r w:rsidR="004C5D02" w:rsidRPr="001F24FA">
        <w:rPr>
          <w:rFonts w:hint="cs"/>
          <w:noProof/>
          <w:rtl/>
        </w:rPr>
        <w:t>עלייה</w:t>
      </w:r>
      <w:r w:rsidR="001A7EEB" w:rsidRPr="001F24FA">
        <w:rPr>
          <w:rFonts w:hint="cs"/>
          <w:noProof/>
          <w:rtl/>
        </w:rPr>
        <w:t xml:space="preserve"> ביצוא מ</w:t>
      </w:r>
      <w:r w:rsidR="00EC5944">
        <w:rPr>
          <w:rFonts w:hint="cs"/>
          <w:noProof/>
          <w:rtl/>
        </w:rPr>
        <w:t>י</w:t>
      </w:r>
      <w:r w:rsidR="001A7EEB" w:rsidRPr="001F24FA">
        <w:rPr>
          <w:rFonts w:hint="cs"/>
          <w:noProof/>
          <w:rtl/>
        </w:rPr>
        <w:t>תנ</w:t>
      </w:r>
      <w:r w:rsidR="00AE1996" w:rsidRPr="001F24FA">
        <w:rPr>
          <w:rFonts w:hint="cs"/>
          <w:noProof/>
          <w:rtl/>
        </w:rPr>
        <w:t>ה</w:t>
      </w:r>
      <w:r w:rsidR="001A7EEB" w:rsidRPr="001F24FA">
        <w:rPr>
          <w:rFonts w:hint="cs"/>
          <w:noProof/>
          <w:rtl/>
        </w:rPr>
        <w:t xml:space="preserve"> </w:t>
      </w:r>
      <w:r w:rsidR="004C5D02" w:rsidRPr="001F24FA">
        <w:rPr>
          <w:rFonts w:hint="cs"/>
          <w:noProof/>
          <w:rtl/>
        </w:rPr>
        <w:t>ירידה</w:t>
      </w:r>
      <w:r w:rsidR="00A2699F" w:rsidRPr="001F24FA">
        <w:rPr>
          <w:rFonts w:hint="cs"/>
          <w:noProof/>
          <w:rtl/>
        </w:rPr>
        <w:t xml:space="preserve"> ביצוא ה</w:t>
      </w:r>
      <w:r w:rsidR="00C13F1E" w:rsidRPr="001F24FA">
        <w:rPr>
          <w:rFonts w:hint="cs"/>
          <w:noProof/>
          <w:rtl/>
        </w:rPr>
        <w:t>מזוט</w:t>
      </w:r>
      <w:r w:rsidR="001A7EEB" w:rsidRPr="001F24FA">
        <w:rPr>
          <w:rFonts w:hint="cs"/>
          <w:noProof/>
          <w:rtl/>
        </w:rPr>
        <w:t xml:space="preserve"> בשיעור</w:t>
      </w:r>
      <w:r w:rsidR="00C52B0D" w:rsidRPr="001F24FA">
        <w:rPr>
          <w:rFonts w:hint="cs"/>
          <w:noProof/>
          <w:rtl/>
        </w:rPr>
        <w:t xml:space="preserve"> של </w:t>
      </w:r>
      <w:r w:rsidR="00C13F1E" w:rsidRPr="001F24FA">
        <w:rPr>
          <w:rFonts w:hint="cs"/>
          <w:noProof/>
          <w:rtl/>
        </w:rPr>
        <w:t>16.3</w:t>
      </w:r>
      <w:r w:rsidR="00C52B0D" w:rsidRPr="001F24FA">
        <w:rPr>
          <w:rFonts w:hint="cs"/>
          <w:noProof/>
          <w:rtl/>
        </w:rPr>
        <w:t>%</w:t>
      </w:r>
      <w:r w:rsidR="001A7EEB" w:rsidRPr="001F24FA">
        <w:rPr>
          <w:rFonts w:hint="cs"/>
          <w:noProof/>
          <w:rtl/>
        </w:rPr>
        <w:t>.</w:t>
      </w:r>
      <w:r w:rsidR="005D1CC4" w:rsidRPr="001F24FA">
        <w:rPr>
          <w:rFonts w:hint="cs"/>
          <w:noProof/>
          <w:rtl/>
        </w:rPr>
        <w:t xml:space="preserve"> </w:t>
      </w:r>
      <w:r w:rsidR="00EC30BE" w:rsidRPr="001F24FA">
        <w:rPr>
          <w:rFonts w:hint="cs"/>
          <w:noProof/>
          <w:rtl/>
        </w:rPr>
        <w:t xml:space="preserve">כמות </w:t>
      </w:r>
      <w:r w:rsidR="005D1CC4" w:rsidRPr="001F24FA">
        <w:rPr>
          <w:rFonts w:hint="cs"/>
          <w:noProof/>
          <w:rtl/>
        </w:rPr>
        <w:t>ה</w:t>
      </w:r>
      <w:r w:rsidR="00EC30BE" w:rsidRPr="001F24FA">
        <w:rPr>
          <w:rFonts w:hint="cs"/>
          <w:noProof/>
          <w:rtl/>
        </w:rPr>
        <w:t xml:space="preserve">יצוא המוצגת בטבלה איננה כוללת את </w:t>
      </w:r>
      <w:r w:rsidR="00A2699F" w:rsidRPr="001F24FA">
        <w:rPr>
          <w:rFonts w:hint="cs"/>
          <w:noProof/>
          <w:rtl/>
        </w:rPr>
        <w:t xml:space="preserve">כמות </w:t>
      </w:r>
      <w:r w:rsidR="00EC30BE" w:rsidRPr="001F24FA">
        <w:rPr>
          <w:rFonts w:hint="cs"/>
          <w:noProof/>
          <w:rtl/>
        </w:rPr>
        <w:t>ה</w:t>
      </w:r>
      <w:r w:rsidR="009B5E05" w:rsidRPr="001F24FA">
        <w:rPr>
          <w:rFonts w:hint="cs"/>
          <w:noProof/>
          <w:rtl/>
        </w:rPr>
        <w:t>קרוסין</w:t>
      </w:r>
      <w:r w:rsidR="0060575D">
        <w:rPr>
          <w:rFonts w:hint="cs"/>
          <w:noProof/>
          <w:rtl/>
        </w:rPr>
        <w:t>/</w:t>
      </w:r>
      <w:r w:rsidR="007C1003" w:rsidRPr="001F24FA">
        <w:rPr>
          <w:noProof/>
          <w:rtl/>
        </w:rPr>
        <w:t>דלק סילוני</w:t>
      </w:r>
      <w:r w:rsidR="00D15042" w:rsidRPr="001F24FA">
        <w:rPr>
          <w:rFonts w:hint="cs"/>
          <w:noProof/>
          <w:rtl/>
        </w:rPr>
        <w:t xml:space="preserve">, מזוט וסולר </w:t>
      </w:r>
      <w:r w:rsidR="00326A52" w:rsidRPr="001F24FA">
        <w:rPr>
          <w:rFonts w:hint="cs"/>
          <w:noProof/>
          <w:rtl/>
        </w:rPr>
        <w:t>ש</w:t>
      </w:r>
      <w:r w:rsidR="00EC30BE" w:rsidRPr="001F24FA">
        <w:rPr>
          <w:rFonts w:hint="cs"/>
          <w:noProof/>
          <w:rtl/>
        </w:rPr>
        <w:t>שימש</w:t>
      </w:r>
      <w:r w:rsidR="006D57E9" w:rsidRPr="001F24FA">
        <w:rPr>
          <w:rFonts w:hint="cs"/>
          <w:noProof/>
          <w:rtl/>
        </w:rPr>
        <w:t>ה</w:t>
      </w:r>
      <w:r w:rsidR="00EC30BE" w:rsidRPr="001F24FA">
        <w:rPr>
          <w:rFonts w:hint="cs"/>
          <w:noProof/>
          <w:rtl/>
        </w:rPr>
        <w:t xml:space="preserve"> לתדלוק </w:t>
      </w:r>
      <w:r w:rsidR="00E547D8" w:rsidRPr="001F24FA">
        <w:rPr>
          <w:rFonts w:hint="cs"/>
          <w:noProof/>
          <w:rtl/>
        </w:rPr>
        <w:t>אוניות ומטוסים</w:t>
      </w:r>
      <w:r w:rsidR="00D15042" w:rsidRPr="001F24FA">
        <w:rPr>
          <w:rFonts w:hint="cs"/>
          <w:noProof/>
          <w:rtl/>
        </w:rPr>
        <w:t>,</w:t>
      </w:r>
      <w:r w:rsidR="00EC30BE" w:rsidRPr="001F24FA">
        <w:rPr>
          <w:rFonts w:hint="cs"/>
          <w:noProof/>
          <w:rtl/>
        </w:rPr>
        <w:t xml:space="preserve"> בכמות של </w:t>
      </w:r>
      <w:r w:rsidR="00D15042" w:rsidRPr="001F24FA">
        <w:rPr>
          <w:rFonts w:hint="cs"/>
          <w:noProof/>
          <w:rtl/>
        </w:rPr>
        <w:t>1,</w:t>
      </w:r>
      <w:r w:rsidR="00C13F1E" w:rsidRPr="001F24FA">
        <w:rPr>
          <w:rFonts w:hint="cs"/>
          <w:noProof/>
          <w:rtl/>
        </w:rPr>
        <w:t>444</w:t>
      </w:r>
      <w:r w:rsidR="00EC30BE" w:rsidRPr="001F24FA">
        <w:rPr>
          <w:rFonts w:hint="cs"/>
          <w:noProof/>
          <w:rtl/>
        </w:rPr>
        <w:t xml:space="preserve"> אלפי שעט"ן</w:t>
      </w:r>
      <w:r w:rsidR="00EF5D74" w:rsidRPr="001F24FA">
        <w:rPr>
          <w:rFonts w:hint="cs"/>
          <w:noProof/>
          <w:rtl/>
        </w:rPr>
        <w:t xml:space="preserve"> (לעומת </w:t>
      </w:r>
      <w:r w:rsidR="00D15042" w:rsidRPr="001F24FA">
        <w:rPr>
          <w:rFonts w:hint="cs"/>
          <w:noProof/>
          <w:rtl/>
        </w:rPr>
        <w:t>1,</w:t>
      </w:r>
      <w:r w:rsidR="00C13F1E" w:rsidRPr="001F24FA">
        <w:rPr>
          <w:rFonts w:hint="cs"/>
          <w:noProof/>
          <w:rtl/>
        </w:rPr>
        <w:t>326</w:t>
      </w:r>
      <w:r w:rsidR="0009034B" w:rsidRPr="001F24FA">
        <w:rPr>
          <w:rFonts w:hint="cs"/>
          <w:noProof/>
          <w:rtl/>
        </w:rPr>
        <w:t xml:space="preserve"> </w:t>
      </w:r>
      <w:r w:rsidR="00EF5D74" w:rsidRPr="001F24FA">
        <w:rPr>
          <w:rFonts w:hint="cs"/>
          <w:noProof/>
          <w:rtl/>
        </w:rPr>
        <w:t>אלפי שעט"ן בשנת 201</w:t>
      </w:r>
      <w:r w:rsidR="00C13F1E" w:rsidRPr="001F24FA">
        <w:rPr>
          <w:rFonts w:hint="cs"/>
          <w:noProof/>
          <w:rtl/>
        </w:rPr>
        <w:t>7</w:t>
      </w:r>
      <w:r w:rsidR="00EF5D74" w:rsidRPr="001F24FA">
        <w:rPr>
          <w:rFonts w:hint="cs"/>
          <w:noProof/>
          <w:rtl/>
        </w:rPr>
        <w:t>)</w:t>
      </w:r>
      <w:r w:rsidR="00EC30BE" w:rsidRPr="001F24FA">
        <w:rPr>
          <w:rFonts w:hint="cs"/>
          <w:noProof/>
          <w:rtl/>
        </w:rPr>
        <w:t>.</w:t>
      </w:r>
    </w:p>
    <w:p w:rsidR="00F4458D" w:rsidRPr="0060575D" w:rsidRDefault="00890047" w:rsidP="00337559">
      <w:pPr>
        <w:pStyle w:val="aa"/>
        <w:spacing w:before="240"/>
        <w:rPr>
          <w:rStyle w:val="afa"/>
          <w:rFonts w:cs="Arial"/>
          <w:bCs/>
          <w:rtl/>
        </w:rPr>
      </w:pPr>
      <w:r w:rsidRPr="0060575D">
        <w:rPr>
          <w:rStyle w:val="afa"/>
          <w:rFonts w:cs="Arial"/>
          <w:bCs/>
          <w:rtl/>
        </w:rPr>
        <w:t>לוח</w:t>
      </w:r>
      <w:r w:rsidR="001D347E" w:rsidRPr="0060575D">
        <w:rPr>
          <w:rStyle w:val="afa"/>
          <w:rFonts w:cs="Arial"/>
          <w:bCs/>
          <w:rtl/>
        </w:rPr>
        <w:t xml:space="preserve"> </w:t>
      </w:r>
      <w:r w:rsidR="00C40BD2" w:rsidRPr="0060575D">
        <w:rPr>
          <w:rStyle w:val="afa"/>
          <w:rFonts w:cs="Arial" w:hint="cs"/>
          <w:bCs/>
          <w:rtl/>
        </w:rPr>
        <w:t>ה</w:t>
      </w:r>
      <w:r w:rsidRPr="0060575D">
        <w:rPr>
          <w:rStyle w:val="afa"/>
          <w:rFonts w:cs="Arial"/>
          <w:bCs/>
          <w:rtl/>
        </w:rPr>
        <w:t xml:space="preserve">. </w:t>
      </w:r>
      <w:r w:rsidR="00202ACC" w:rsidRPr="0060575D">
        <w:rPr>
          <w:rStyle w:val="afa"/>
          <w:rFonts w:cs="Arial"/>
          <w:bCs/>
          <w:rtl/>
        </w:rPr>
        <w:t xml:space="preserve">יצוא </w:t>
      </w:r>
      <w:r w:rsidR="008F301F" w:rsidRPr="0060575D">
        <w:rPr>
          <w:rStyle w:val="afa"/>
          <w:rFonts w:cs="Arial" w:hint="cs"/>
          <w:bCs/>
          <w:rtl/>
        </w:rPr>
        <w:t>מוצרי</w:t>
      </w:r>
      <w:r w:rsidR="00A67854" w:rsidRPr="0060575D">
        <w:rPr>
          <w:rStyle w:val="afa"/>
          <w:rFonts w:cs="Arial"/>
          <w:bCs/>
          <w:rtl/>
        </w:rPr>
        <w:t xml:space="preserve"> נפט </w:t>
      </w:r>
      <w:r w:rsidR="00F965C2" w:rsidRPr="0060575D">
        <w:rPr>
          <w:rStyle w:val="afa"/>
          <w:rFonts w:cs="Arial"/>
          <w:bCs/>
          <w:rtl/>
        </w:rPr>
        <w:t>(</w:t>
      </w:r>
      <w:r w:rsidRPr="0060575D">
        <w:rPr>
          <w:rStyle w:val="afa"/>
          <w:rFonts w:cs="Arial"/>
          <w:bCs/>
          <w:rtl/>
        </w:rPr>
        <w:t xml:space="preserve">אלפי </w:t>
      </w:r>
      <w:proofErr w:type="spellStart"/>
      <w:r w:rsidR="00F965C2" w:rsidRPr="0060575D">
        <w:rPr>
          <w:rStyle w:val="afa"/>
          <w:rFonts w:cs="Arial"/>
          <w:bCs/>
          <w:rtl/>
        </w:rPr>
        <w:t>שעט"ן</w:t>
      </w:r>
      <w:proofErr w:type="spellEnd"/>
      <w:r w:rsidR="00A65635" w:rsidRPr="0060575D">
        <w:rPr>
          <w:rStyle w:val="afa"/>
          <w:rFonts w:cs="Arial"/>
          <w:bCs/>
          <w:rtl/>
        </w:rPr>
        <w:t>)</w:t>
      </w:r>
    </w:p>
    <w:tbl>
      <w:tblPr>
        <w:bidiVisual/>
        <w:tblW w:w="10499" w:type="dxa"/>
        <w:jc w:val="center"/>
        <w:tblInd w:w="734"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Caption w:val="לוח ה. יצוא מוצרי נפט (אלפי שעט&quot;ן)"/>
        <w:tblDescription w:val="לוח ה. יצוא מוצרי נפט (אלפי שעט&quot;ן)"/>
      </w:tblPr>
      <w:tblGrid>
        <w:gridCol w:w="2510"/>
        <w:gridCol w:w="1209"/>
        <w:gridCol w:w="1209"/>
        <w:gridCol w:w="1210"/>
        <w:gridCol w:w="1209"/>
        <w:gridCol w:w="1210"/>
        <w:gridCol w:w="1942"/>
      </w:tblGrid>
      <w:tr w:rsidR="0060575D" w:rsidRPr="0060575D" w:rsidTr="006D0C11">
        <w:trPr>
          <w:trHeight w:val="655"/>
          <w:tblHeader/>
          <w:jc w:val="center"/>
        </w:trPr>
        <w:tc>
          <w:tcPr>
            <w:tcW w:w="2501" w:type="dxa"/>
            <w:tcBorders>
              <w:top w:val="double" w:sz="6" w:space="0" w:color="auto"/>
              <w:left w:val="single" w:sz="4" w:space="0" w:color="auto"/>
              <w:bottom w:val="single" w:sz="4" w:space="0" w:color="auto"/>
              <w:right w:val="single" w:sz="4" w:space="0" w:color="auto"/>
            </w:tcBorders>
            <w:noWrap/>
            <w:vAlign w:val="center"/>
          </w:tcPr>
          <w:p w:rsidR="00070F12" w:rsidRPr="0060575D" w:rsidRDefault="00070F12" w:rsidP="00070F12">
            <w:pPr>
              <w:pStyle w:val="a0"/>
              <w:jc w:val="center"/>
              <w:rPr>
                <w:sz w:val="24"/>
                <w:rtl/>
              </w:rPr>
            </w:pPr>
            <w:r w:rsidRPr="0060575D">
              <w:rPr>
                <w:rFonts w:hint="cs"/>
                <w:sz w:val="24"/>
                <w:rtl/>
              </w:rPr>
              <w:t>יצוא מוצרי נפט</w:t>
            </w:r>
          </w:p>
        </w:tc>
        <w:tc>
          <w:tcPr>
            <w:tcW w:w="1210"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sz w:val="24"/>
                <w:rtl/>
              </w:rPr>
              <w:t>2014</w:t>
            </w:r>
          </w:p>
        </w:tc>
        <w:tc>
          <w:tcPr>
            <w:tcW w:w="1210"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sz w:val="24"/>
                <w:rtl/>
              </w:rPr>
              <w:t>201</w:t>
            </w:r>
            <w:r w:rsidRPr="0060575D">
              <w:rPr>
                <w:rFonts w:hint="cs"/>
                <w:sz w:val="24"/>
                <w:rtl/>
              </w:rPr>
              <w:t>5</w:t>
            </w:r>
          </w:p>
        </w:tc>
        <w:tc>
          <w:tcPr>
            <w:tcW w:w="1211"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rFonts w:hint="cs"/>
                <w:sz w:val="24"/>
                <w:rtl/>
              </w:rPr>
              <w:t>2016</w:t>
            </w:r>
          </w:p>
        </w:tc>
        <w:tc>
          <w:tcPr>
            <w:tcW w:w="1210"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rFonts w:hint="cs"/>
                <w:sz w:val="24"/>
                <w:rtl/>
              </w:rPr>
              <w:t>2017</w:t>
            </w:r>
          </w:p>
        </w:tc>
        <w:tc>
          <w:tcPr>
            <w:tcW w:w="1211"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rFonts w:hint="cs"/>
                <w:sz w:val="24"/>
                <w:rtl/>
              </w:rPr>
              <w:t>2018</w:t>
            </w:r>
          </w:p>
        </w:tc>
        <w:tc>
          <w:tcPr>
            <w:tcW w:w="1946" w:type="dxa"/>
            <w:tcBorders>
              <w:top w:val="double" w:sz="6" w:space="0" w:color="auto"/>
              <w:left w:val="single" w:sz="4" w:space="0" w:color="auto"/>
              <w:bottom w:val="single" w:sz="4" w:space="0" w:color="auto"/>
              <w:right w:val="single" w:sz="4" w:space="0" w:color="auto"/>
            </w:tcBorders>
            <w:vAlign w:val="center"/>
          </w:tcPr>
          <w:p w:rsidR="00070F12" w:rsidRPr="0060575D" w:rsidRDefault="00070F12" w:rsidP="00070F12">
            <w:pPr>
              <w:pStyle w:val="a0"/>
              <w:ind w:left="227"/>
              <w:jc w:val="center"/>
              <w:rPr>
                <w:sz w:val="24"/>
                <w:rtl/>
              </w:rPr>
            </w:pPr>
            <w:r w:rsidRPr="0060575D">
              <w:rPr>
                <w:sz w:val="24"/>
                <w:rtl/>
              </w:rPr>
              <w:t>אחוז שינוי</w:t>
            </w:r>
          </w:p>
          <w:p w:rsidR="00070F12" w:rsidRPr="0060575D" w:rsidRDefault="00070F12" w:rsidP="00070F12">
            <w:pPr>
              <w:pStyle w:val="a0"/>
              <w:ind w:left="227"/>
              <w:jc w:val="center"/>
              <w:rPr>
                <w:sz w:val="24"/>
                <w:rtl/>
              </w:rPr>
            </w:pPr>
            <w:r w:rsidRPr="0060575D">
              <w:rPr>
                <w:rFonts w:hint="cs"/>
                <w:sz w:val="24"/>
                <w:rtl/>
              </w:rPr>
              <w:t>2018</w:t>
            </w:r>
            <w:r w:rsidRPr="0060575D">
              <w:rPr>
                <w:sz w:val="24"/>
                <w:rtl/>
              </w:rPr>
              <w:t xml:space="preserve"> לעומת </w:t>
            </w:r>
            <w:r w:rsidRPr="0060575D">
              <w:rPr>
                <w:rFonts w:hint="cs"/>
                <w:sz w:val="24"/>
                <w:rtl/>
              </w:rPr>
              <w:t>2017</w:t>
            </w:r>
          </w:p>
        </w:tc>
      </w:tr>
      <w:tr w:rsidR="005645A8" w:rsidRPr="0060575D" w:rsidTr="006D0C11">
        <w:trPr>
          <w:trHeight w:val="373"/>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Pr>
            </w:pPr>
            <w:r w:rsidRPr="0060575D">
              <w:rPr>
                <w:sz w:val="24"/>
                <w:rtl/>
              </w:rPr>
              <w:t>מוצרי נפט - סך הכל</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8131F2">
            <w:pPr>
              <w:jc w:val="center"/>
            </w:pPr>
            <w:r w:rsidRPr="0060575D">
              <w:t>6,657.1</w:t>
            </w:r>
          </w:p>
        </w:tc>
        <w:tc>
          <w:tcPr>
            <w:tcW w:w="1210" w:type="dxa"/>
            <w:tcBorders>
              <w:top w:val="nil"/>
              <w:left w:val="single" w:sz="4" w:space="0" w:color="auto"/>
              <w:bottom w:val="single" w:sz="4" w:space="0" w:color="auto"/>
              <w:right w:val="single" w:sz="4" w:space="0" w:color="auto"/>
            </w:tcBorders>
            <w:vAlign w:val="center"/>
          </w:tcPr>
          <w:p w:rsidR="005645A8" w:rsidRPr="0060575D" w:rsidRDefault="005645A8" w:rsidP="008131F2">
            <w:pPr>
              <w:jc w:val="center"/>
            </w:pPr>
            <w:r w:rsidRPr="0060575D">
              <w:t>6,255.7</w:t>
            </w:r>
          </w:p>
        </w:tc>
        <w:tc>
          <w:tcPr>
            <w:tcW w:w="1211" w:type="dxa"/>
            <w:tcBorders>
              <w:top w:val="nil"/>
              <w:left w:val="single" w:sz="4" w:space="0" w:color="auto"/>
              <w:bottom w:val="single" w:sz="4" w:space="0" w:color="auto"/>
              <w:right w:val="single" w:sz="4" w:space="0" w:color="auto"/>
            </w:tcBorders>
            <w:vAlign w:val="center"/>
          </w:tcPr>
          <w:p w:rsidR="005645A8" w:rsidRPr="00D03E2F" w:rsidRDefault="005645A8" w:rsidP="005645A8">
            <w:pPr>
              <w:jc w:val="center"/>
            </w:pPr>
            <w:r w:rsidRPr="00D03E2F">
              <w:t>5,732.7</w:t>
            </w:r>
          </w:p>
        </w:tc>
        <w:tc>
          <w:tcPr>
            <w:tcW w:w="1210" w:type="dxa"/>
            <w:tcBorders>
              <w:top w:val="nil"/>
              <w:left w:val="single" w:sz="4" w:space="0" w:color="auto"/>
              <w:bottom w:val="single" w:sz="4" w:space="0" w:color="auto"/>
              <w:right w:val="single" w:sz="4" w:space="0" w:color="auto"/>
            </w:tcBorders>
            <w:vAlign w:val="center"/>
          </w:tcPr>
          <w:p w:rsidR="005645A8" w:rsidRPr="00D03E2F" w:rsidRDefault="005645A8" w:rsidP="005645A8">
            <w:pPr>
              <w:jc w:val="center"/>
            </w:pPr>
            <w:r w:rsidRPr="00D03E2F">
              <w:t>5,811.1</w:t>
            </w:r>
          </w:p>
        </w:tc>
        <w:tc>
          <w:tcPr>
            <w:tcW w:w="1211" w:type="dxa"/>
            <w:tcBorders>
              <w:top w:val="nil"/>
              <w:left w:val="single" w:sz="4" w:space="0" w:color="auto"/>
              <w:bottom w:val="single" w:sz="4" w:space="0" w:color="auto"/>
              <w:right w:val="single" w:sz="4" w:space="0" w:color="auto"/>
            </w:tcBorders>
            <w:vAlign w:val="center"/>
          </w:tcPr>
          <w:p w:rsidR="005645A8" w:rsidRDefault="005645A8" w:rsidP="005645A8">
            <w:pPr>
              <w:jc w:val="center"/>
            </w:pPr>
            <w:r w:rsidRPr="00D03E2F">
              <w:t>6,058.0</w:t>
            </w:r>
          </w:p>
        </w:tc>
        <w:tc>
          <w:tcPr>
            <w:tcW w:w="1946" w:type="dxa"/>
            <w:tcBorders>
              <w:top w:val="nil"/>
              <w:left w:val="single" w:sz="4" w:space="0" w:color="auto"/>
              <w:bottom w:val="single" w:sz="4" w:space="0" w:color="auto"/>
              <w:right w:val="single" w:sz="4" w:space="0" w:color="auto"/>
            </w:tcBorders>
            <w:vAlign w:val="center"/>
          </w:tcPr>
          <w:p w:rsidR="005645A8" w:rsidRPr="0060575D" w:rsidRDefault="005645A8" w:rsidP="008131F2">
            <w:pPr>
              <w:jc w:val="center"/>
            </w:pPr>
            <w:r w:rsidRPr="0060575D">
              <w:t>4.2%</w:t>
            </w:r>
          </w:p>
        </w:tc>
      </w:tr>
      <w:tr w:rsidR="0060575D" w:rsidRPr="0060575D" w:rsidTr="006D0C11">
        <w:trPr>
          <w:trHeight w:val="331"/>
          <w:jc w:val="center"/>
        </w:trPr>
        <w:tc>
          <w:tcPr>
            <w:tcW w:w="2501" w:type="dxa"/>
            <w:tcBorders>
              <w:top w:val="single" w:sz="4" w:space="0" w:color="auto"/>
              <w:left w:val="single" w:sz="4" w:space="0" w:color="auto"/>
              <w:bottom w:val="single" w:sz="4" w:space="0" w:color="auto"/>
              <w:right w:val="nil"/>
            </w:tcBorders>
            <w:noWrap/>
            <w:vAlign w:val="center"/>
          </w:tcPr>
          <w:p w:rsidR="00070F12" w:rsidRPr="0060575D" w:rsidRDefault="00070F12" w:rsidP="006D0C11">
            <w:pPr>
              <w:pStyle w:val="a0"/>
              <w:jc w:val="left"/>
              <w:rPr>
                <w:sz w:val="24"/>
                <w:rtl/>
              </w:rPr>
            </w:pPr>
            <w:r w:rsidRPr="0060575D">
              <w:rPr>
                <w:sz w:val="24"/>
                <w:rtl/>
              </w:rPr>
              <w:t>מזה:</w:t>
            </w:r>
          </w:p>
        </w:tc>
        <w:tc>
          <w:tcPr>
            <w:tcW w:w="1210" w:type="dxa"/>
            <w:tcBorders>
              <w:top w:val="single" w:sz="4" w:space="0" w:color="auto"/>
              <w:left w:val="nil"/>
              <w:bottom w:val="single" w:sz="4" w:space="0" w:color="auto"/>
              <w:right w:val="nil"/>
            </w:tcBorders>
            <w:vAlign w:val="center"/>
          </w:tcPr>
          <w:p w:rsidR="00070F12" w:rsidRPr="0060575D" w:rsidRDefault="00AF649F" w:rsidP="00070F12">
            <w:pPr>
              <w:pStyle w:val="a0"/>
              <w:ind w:left="227"/>
              <w:jc w:val="center"/>
              <w:rPr>
                <w:b w:val="0"/>
                <w:bCs w:val="0"/>
                <w:sz w:val="24"/>
                <w:rtl/>
              </w:rPr>
            </w:pPr>
            <w:r>
              <w:rPr>
                <w:rFonts w:hint="cs"/>
                <w:b w:val="0"/>
                <w:bCs w:val="0"/>
                <w:sz w:val="24"/>
                <w:rtl/>
              </w:rPr>
              <w:t>-</w:t>
            </w:r>
          </w:p>
        </w:tc>
        <w:tc>
          <w:tcPr>
            <w:tcW w:w="1210" w:type="dxa"/>
            <w:tcBorders>
              <w:top w:val="single" w:sz="4" w:space="0" w:color="auto"/>
              <w:left w:val="nil"/>
              <w:bottom w:val="single" w:sz="4" w:space="0" w:color="auto"/>
              <w:right w:val="nil"/>
            </w:tcBorders>
            <w:vAlign w:val="center"/>
          </w:tcPr>
          <w:p w:rsidR="00070F12" w:rsidRPr="0060575D" w:rsidRDefault="00AF649F" w:rsidP="00070F12">
            <w:pPr>
              <w:pStyle w:val="a0"/>
              <w:ind w:left="227"/>
              <w:jc w:val="center"/>
              <w:rPr>
                <w:b w:val="0"/>
                <w:bCs w:val="0"/>
                <w:sz w:val="24"/>
                <w:rtl/>
              </w:rPr>
            </w:pPr>
            <w:r>
              <w:rPr>
                <w:rFonts w:hint="cs"/>
                <w:b w:val="0"/>
                <w:bCs w:val="0"/>
                <w:sz w:val="24"/>
                <w:rtl/>
              </w:rPr>
              <w:t>-</w:t>
            </w:r>
          </w:p>
        </w:tc>
        <w:tc>
          <w:tcPr>
            <w:tcW w:w="1211" w:type="dxa"/>
            <w:tcBorders>
              <w:top w:val="single" w:sz="4" w:space="0" w:color="auto"/>
              <w:left w:val="nil"/>
              <w:bottom w:val="single" w:sz="4" w:space="0" w:color="auto"/>
              <w:right w:val="nil"/>
            </w:tcBorders>
            <w:vAlign w:val="center"/>
          </w:tcPr>
          <w:p w:rsidR="00070F12" w:rsidRPr="00AF649F" w:rsidRDefault="00AF649F" w:rsidP="005645A8">
            <w:pPr>
              <w:pStyle w:val="a0"/>
              <w:ind w:left="227"/>
              <w:jc w:val="center"/>
              <w:rPr>
                <w:b w:val="0"/>
                <w:bCs w:val="0"/>
                <w:sz w:val="24"/>
                <w:rtl/>
              </w:rPr>
            </w:pPr>
            <w:r w:rsidRPr="00AF649F">
              <w:rPr>
                <w:rFonts w:hint="cs"/>
                <w:b w:val="0"/>
                <w:bCs w:val="0"/>
                <w:sz w:val="24"/>
                <w:rtl/>
              </w:rPr>
              <w:t>-</w:t>
            </w:r>
          </w:p>
        </w:tc>
        <w:tc>
          <w:tcPr>
            <w:tcW w:w="1210" w:type="dxa"/>
            <w:tcBorders>
              <w:top w:val="single" w:sz="4" w:space="0" w:color="auto"/>
              <w:left w:val="nil"/>
              <w:bottom w:val="single" w:sz="4" w:space="0" w:color="auto"/>
              <w:right w:val="nil"/>
            </w:tcBorders>
            <w:vAlign w:val="center"/>
          </w:tcPr>
          <w:p w:rsidR="00070F12" w:rsidRPr="00AF649F" w:rsidRDefault="00AF649F" w:rsidP="005645A8">
            <w:pPr>
              <w:pStyle w:val="a0"/>
              <w:ind w:left="227"/>
              <w:jc w:val="center"/>
              <w:rPr>
                <w:b w:val="0"/>
                <w:bCs w:val="0"/>
                <w:sz w:val="24"/>
                <w:rtl/>
              </w:rPr>
            </w:pPr>
            <w:r w:rsidRPr="00AF649F">
              <w:rPr>
                <w:rFonts w:hint="cs"/>
                <w:b w:val="0"/>
                <w:bCs w:val="0"/>
                <w:sz w:val="24"/>
                <w:rtl/>
              </w:rPr>
              <w:t>-</w:t>
            </w:r>
          </w:p>
        </w:tc>
        <w:tc>
          <w:tcPr>
            <w:tcW w:w="1211" w:type="dxa"/>
            <w:tcBorders>
              <w:top w:val="single" w:sz="4" w:space="0" w:color="auto"/>
              <w:left w:val="nil"/>
              <w:bottom w:val="single" w:sz="4" w:space="0" w:color="auto"/>
              <w:right w:val="nil"/>
            </w:tcBorders>
            <w:vAlign w:val="center"/>
          </w:tcPr>
          <w:p w:rsidR="00070F12" w:rsidRPr="00AF649F" w:rsidRDefault="00AF649F" w:rsidP="005645A8">
            <w:pPr>
              <w:pStyle w:val="a0"/>
              <w:ind w:left="227"/>
              <w:jc w:val="center"/>
              <w:rPr>
                <w:b w:val="0"/>
                <w:bCs w:val="0"/>
                <w:sz w:val="24"/>
                <w:rtl/>
              </w:rPr>
            </w:pPr>
            <w:r w:rsidRPr="00AF649F">
              <w:rPr>
                <w:rFonts w:hint="cs"/>
                <w:b w:val="0"/>
                <w:bCs w:val="0"/>
                <w:sz w:val="24"/>
                <w:rtl/>
              </w:rPr>
              <w:t>-</w:t>
            </w:r>
          </w:p>
        </w:tc>
        <w:tc>
          <w:tcPr>
            <w:tcW w:w="1946" w:type="dxa"/>
            <w:tcBorders>
              <w:top w:val="single" w:sz="4" w:space="0" w:color="auto"/>
              <w:left w:val="nil"/>
              <w:bottom w:val="single" w:sz="4" w:space="0" w:color="auto"/>
              <w:right w:val="single" w:sz="4" w:space="0" w:color="auto"/>
            </w:tcBorders>
            <w:vAlign w:val="center"/>
          </w:tcPr>
          <w:p w:rsidR="00070F12" w:rsidRPr="0060575D" w:rsidRDefault="00AF649F" w:rsidP="00070F12">
            <w:pPr>
              <w:pStyle w:val="a0"/>
              <w:ind w:left="227"/>
              <w:jc w:val="center"/>
              <w:rPr>
                <w:b w:val="0"/>
                <w:bCs w:val="0"/>
                <w:sz w:val="24"/>
                <w:rtl/>
              </w:rPr>
            </w:pPr>
            <w:r>
              <w:rPr>
                <w:rFonts w:hint="cs"/>
                <w:b w:val="0"/>
                <w:bCs w:val="0"/>
                <w:sz w:val="24"/>
                <w:rtl/>
              </w:rPr>
              <w:t>-</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tl/>
              </w:rPr>
            </w:pPr>
            <w:r w:rsidRPr="0060575D">
              <w:rPr>
                <w:sz w:val="24"/>
                <w:rtl/>
              </w:rPr>
              <w:t>סולר</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3,056.7</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2,787.6</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2,010.3</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2,084.3</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2,235.7</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7.3%</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tl/>
              </w:rPr>
            </w:pPr>
            <w:r w:rsidRPr="0060575D">
              <w:rPr>
                <w:sz w:val="24"/>
                <w:rtl/>
              </w:rPr>
              <w:t>בנזין</w:t>
            </w:r>
            <w:r w:rsidRPr="0060575D">
              <w:rPr>
                <w:rFonts w:hint="cs"/>
                <w:sz w:val="24"/>
                <w:rtl/>
              </w:rPr>
              <w:t xml:space="preserve"> לרכב</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783.7</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596.3</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596.6</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520.7</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885.2</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60575D">
            <w:pPr>
              <w:jc w:val="center"/>
            </w:pPr>
            <w:r w:rsidRPr="0060575D">
              <w:t>70.0%</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tl/>
              </w:rPr>
            </w:pPr>
            <w:r w:rsidRPr="0060575D">
              <w:rPr>
                <w:rFonts w:hint="cs"/>
                <w:sz w:val="24"/>
                <w:rtl/>
              </w:rPr>
              <w:t>מזוט</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1,940.4</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2,072.7</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2,273.5</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2,348.7</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1,966.4</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-16.3%</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Pr>
            </w:pPr>
            <w:r w:rsidRPr="0060575D">
              <w:rPr>
                <w:sz w:val="24"/>
                <w:rtl/>
              </w:rPr>
              <w:t>קרוסין</w:t>
            </w:r>
            <w:r w:rsidRPr="0060575D">
              <w:rPr>
                <w:rFonts w:hint="cs"/>
                <w:sz w:val="24"/>
                <w:rtl/>
              </w:rPr>
              <w:t xml:space="preserve"> ודלק סילוני</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328.5</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269.3</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282.3</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280.8</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321.1</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14.4%</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Pr>
            </w:pPr>
            <w:r w:rsidRPr="0060575D">
              <w:rPr>
                <w:sz w:val="24"/>
                <w:rtl/>
              </w:rPr>
              <w:t>נפטא</w:t>
            </w:r>
            <w:r w:rsidRPr="0060575D">
              <w:rPr>
                <w:rFonts w:hint="cs"/>
                <w:sz w:val="24"/>
                <w:rtl/>
              </w:rPr>
              <w:t xml:space="preserve"> (ובנזין תעשיית</w:t>
            </w:r>
            <w:r w:rsidRPr="0060575D">
              <w:rPr>
                <w:rFonts w:hint="eastAsia"/>
                <w:sz w:val="24"/>
                <w:rtl/>
              </w:rPr>
              <w:t>י</w:t>
            </w:r>
            <w:r w:rsidRPr="0060575D">
              <w:rPr>
                <w:rFonts w:hint="cs"/>
                <w:sz w:val="24"/>
                <w:rtl/>
              </w:rPr>
              <w:t>)</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379.6</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340.9</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371.7</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361.1</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459.8</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27.4%</w:t>
            </w:r>
          </w:p>
        </w:tc>
      </w:tr>
      <w:tr w:rsidR="005645A8" w:rsidRPr="0060575D" w:rsidTr="006D0C11">
        <w:trPr>
          <w:trHeight w:val="255"/>
          <w:jc w:val="center"/>
        </w:trPr>
        <w:tc>
          <w:tcPr>
            <w:tcW w:w="2501" w:type="dxa"/>
            <w:tcBorders>
              <w:top w:val="single" w:sz="4" w:space="0" w:color="auto"/>
              <w:left w:val="single" w:sz="4" w:space="0" w:color="auto"/>
              <w:bottom w:val="single" w:sz="4" w:space="0" w:color="auto"/>
              <w:right w:val="single" w:sz="4" w:space="0" w:color="auto"/>
            </w:tcBorders>
            <w:noWrap/>
            <w:vAlign w:val="center"/>
          </w:tcPr>
          <w:p w:rsidR="005645A8" w:rsidRPr="0060575D" w:rsidRDefault="005645A8" w:rsidP="006D0C11">
            <w:pPr>
              <w:pStyle w:val="a0"/>
              <w:jc w:val="left"/>
              <w:rPr>
                <w:sz w:val="24"/>
              </w:rPr>
            </w:pPr>
            <w:r w:rsidRPr="0060575D">
              <w:rPr>
                <w:sz w:val="24"/>
                <w:rtl/>
              </w:rPr>
              <w:t>גפ"מ</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163.2</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188.9</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192.6</w:t>
            </w:r>
          </w:p>
        </w:tc>
        <w:tc>
          <w:tcPr>
            <w:tcW w:w="1210"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210.3</w:t>
            </w:r>
          </w:p>
        </w:tc>
        <w:tc>
          <w:tcPr>
            <w:tcW w:w="1211" w:type="dxa"/>
            <w:tcBorders>
              <w:top w:val="single" w:sz="4" w:space="0" w:color="auto"/>
              <w:left w:val="single" w:sz="4" w:space="0" w:color="auto"/>
              <w:bottom w:val="single" w:sz="4" w:space="0" w:color="auto"/>
              <w:right w:val="single" w:sz="4" w:space="0" w:color="auto"/>
            </w:tcBorders>
            <w:vAlign w:val="center"/>
          </w:tcPr>
          <w:p w:rsidR="005645A8" w:rsidRPr="009A6C2B" w:rsidRDefault="005645A8" w:rsidP="005645A8">
            <w:pPr>
              <w:jc w:val="center"/>
            </w:pPr>
            <w:r w:rsidRPr="009A6C2B">
              <w:t>185.8</w:t>
            </w:r>
          </w:p>
        </w:tc>
        <w:tc>
          <w:tcPr>
            <w:tcW w:w="1946" w:type="dxa"/>
            <w:tcBorders>
              <w:top w:val="single" w:sz="4" w:space="0" w:color="auto"/>
              <w:left w:val="single" w:sz="4" w:space="0" w:color="auto"/>
              <w:bottom w:val="single" w:sz="4" w:space="0" w:color="auto"/>
              <w:right w:val="single" w:sz="4" w:space="0" w:color="auto"/>
            </w:tcBorders>
            <w:vAlign w:val="center"/>
          </w:tcPr>
          <w:p w:rsidR="005645A8" w:rsidRPr="0060575D" w:rsidRDefault="005645A8" w:rsidP="00070F12">
            <w:pPr>
              <w:jc w:val="center"/>
            </w:pPr>
            <w:r w:rsidRPr="0060575D">
              <w:t>-11.6%</w:t>
            </w:r>
          </w:p>
        </w:tc>
      </w:tr>
      <w:tr w:rsidR="005645A8" w:rsidRPr="0060575D" w:rsidTr="006D0C11">
        <w:trPr>
          <w:trHeight w:val="255"/>
          <w:jc w:val="center"/>
        </w:trPr>
        <w:tc>
          <w:tcPr>
            <w:tcW w:w="2501" w:type="dxa"/>
            <w:tcBorders>
              <w:top w:val="single" w:sz="4" w:space="0" w:color="auto"/>
              <w:left w:val="single" w:sz="4" w:space="0" w:color="auto"/>
              <w:bottom w:val="double" w:sz="6" w:space="0" w:color="auto"/>
              <w:right w:val="single" w:sz="4" w:space="0" w:color="auto"/>
            </w:tcBorders>
            <w:noWrap/>
            <w:vAlign w:val="center"/>
          </w:tcPr>
          <w:p w:rsidR="005645A8" w:rsidRPr="0060575D" w:rsidRDefault="005645A8" w:rsidP="006D0C11">
            <w:pPr>
              <w:pStyle w:val="a0"/>
              <w:jc w:val="left"/>
              <w:rPr>
                <w:sz w:val="24"/>
              </w:rPr>
            </w:pPr>
            <w:r w:rsidRPr="0060575D">
              <w:rPr>
                <w:sz w:val="24"/>
                <w:rtl/>
              </w:rPr>
              <w:t>מוצרי נפט אחרים</w:t>
            </w:r>
          </w:p>
        </w:tc>
        <w:tc>
          <w:tcPr>
            <w:tcW w:w="1210" w:type="dxa"/>
            <w:tcBorders>
              <w:top w:val="single" w:sz="4" w:space="0" w:color="auto"/>
              <w:left w:val="single" w:sz="4" w:space="0" w:color="auto"/>
              <w:bottom w:val="double" w:sz="6" w:space="0" w:color="auto"/>
              <w:right w:val="single" w:sz="4" w:space="0" w:color="auto"/>
            </w:tcBorders>
            <w:vAlign w:val="center"/>
          </w:tcPr>
          <w:p w:rsidR="005645A8" w:rsidRPr="0060575D" w:rsidRDefault="005645A8" w:rsidP="00070F12">
            <w:pPr>
              <w:jc w:val="center"/>
            </w:pPr>
            <w:r w:rsidRPr="0060575D">
              <w:t>5.0</w:t>
            </w:r>
          </w:p>
        </w:tc>
        <w:tc>
          <w:tcPr>
            <w:tcW w:w="1210" w:type="dxa"/>
            <w:tcBorders>
              <w:top w:val="single" w:sz="4" w:space="0" w:color="auto"/>
              <w:left w:val="single" w:sz="4" w:space="0" w:color="auto"/>
              <w:bottom w:val="double" w:sz="6" w:space="0" w:color="auto"/>
              <w:right w:val="single" w:sz="4" w:space="0" w:color="auto"/>
            </w:tcBorders>
            <w:vAlign w:val="center"/>
          </w:tcPr>
          <w:p w:rsidR="005645A8" w:rsidRPr="0060575D" w:rsidRDefault="005645A8" w:rsidP="00070F12">
            <w:pPr>
              <w:jc w:val="center"/>
            </w:pPr>
            <w:r w:rsidRPr="0060575D">
              <w:t>0.0</w:t>
            </w:r>
          </w:p>
        </w:tc>
        <w:tc>
          <w:tcPr>
            <w:tcW w:w="1211" w:type="dxa"/>
            <w:tcBorders>
              <w:top w:val="single" w:sz="4" w:space="0" w:color="auto"/>
              <w:left w:val="single" w:sz="4" w:space="0" w:color="auto"/>
              <w:bottom w:val="double" w:sz="6" w:space="0" w:color="auto"/>
              <w:right w:val="single" w:sz="4" w:space="0" w:color="auto"/>
            </w:tcBorders>
            <w:vAlign w:val="center"/>
          </w:tcPr>
          <w:p w:rsidR="005645A8" w:rsidRPr="009A6C2B" w:rsidRDefault="005645A8" w:rsidP="005645A8">
            <w:pPr>
              <w:jc w:val="center"/>
            </w:pPr>
            <w:r w:rsidRPr="009A6C2B">
              <w:t>5.6</w:t>
            </w:r>
          </w:p>
        </w:tc>
        <w:tc>
          <w:tcPr>
            <w:tcW w:w="1210" w:type="dxa"/>
            <w:tcBorders>
              <w:top w:val="single" w:sz="4" w:space="0" w:color="auto"/>
              <w:left w:val="single" w:sz="4" w:space="0" w:color="auto"/>
              <w:bottom w:val="double" w:sz="6" w:space="0" w:color="auto"/>
              <w:right w:val="single" w:sz="4" w:space="0" w:color="auto"/>
            </w:tcBorders>
            <w:vAlign w:val="center"/>
          </w:tcPr>
          <w:p w:rsidR="005645A8" w:rsidRPr="009A6C2B" w:rsidRDefault="005645A8" w:rsidP="005645A8">
            <w:pPr>
              <w:jc w:val="center"/>
            </w:pPr>
            <w:r w:rsidRPr="009A6C2B">
              <w:t>5.2</w:t>
            </w:r>
          </w:p>
        </w:tc>
        <w:tc>
          <w:tcPr>
            <w:tcW w:w="1211" w:type="dxa"/>
            <w:tcBorders>
              <w:top w:val="single" w:sz="4" w:space="0" w:color="auto"/>
              <w:left w:val="single" w:sz="4" w:space="0" w:color="auto"/>
              <w:bottom w:val="double" w:sz="6" w:space="0" w:color="auto"/>
              <w:right w:val="single" w:sz="4" w:space="0" w:color="auto"/>
            </w:tcBorders>
            <w:vAlign w:val="center"/>
          </w:tcPr>
          <w:p w:rsidR="005645A8" w:rsidRDefault="005645A8" w:rsidP="005645A8">
            <w:pPr>
              <w:jc w:val="center"/>
            </w:pPr>
            <w:r w:rsidRPr="009A6C2B">
              <w:t>3.9</w:t>
            </w:r>
          </w:p>
        </w:tc>
        <w:tc>
          <w:tcPr>
            <w:tcW w:w="1946" w:type="dxa"/>
            <w:tcBorders>
              <w:top w:val="single" w:sz="4" w:space="0" w:color="auto"/>
              <w:left w:val="single" w:sz="4" w:space="0" w:color="auto"/>
              <w:bottom w:val="double" w:sz="6" w:space="0" w:color="auto"/>
              <w:right w:val="single" w:sz="4" w:space="0" w:color="auto"/>
            </w:tcBorders>
            <w:vAlign w:val="center"/>
          </w:tcPr>
          <w:p w:rsidR="005645A8" w:rsidRPr="0060575D" w:rsidRDefault="005645A8" w:rsidP="00070F12">
            <w:pPr>
              <w:jc w:val="center"/>
            </w:pPr>
            <w:r w:rsidRPr="0060575D">
              <w:t>-24.8%</w:t>
            </w:r>
          </w:p>
        </w:tc>
      </w:tr>
    </w:tbl>
    <w:p w:rsidR="00BD7E1E" w:rsidRPr="0060575D" w:rsidRDefault="00230CB3" w:rsidP="00703DE4">
      <w:pPr>
        <w:pStyle w:val="3"/>
        <w:rPr>
          <w:rtl/>
        </w:rPr>
      </w:pPr>
      <w:r w:rsidRPr="00955058">
        <w:rPr>
          <w:color w:val="FF0000"/>
          <w:rtl/>
        </w:rPr>
        <w:br w:type="page"/>
      </w:r>
      <w:r w:rsidR="00BD7E1E" w:rsidRPr="0060575D">
        <w:rPr>
          <w:rFonts w:hint="cs"/>
          <w:rtl/>
        </w:rPr>
        <w:lastRenderedPageBreak/>
        <w:t>מקורות ושימושיים של מוצרי נפט</w:t>
      </w:r>
      <w:r w:rsidR="00FD1F8C" w:rsidRPr="0060575D">
        <w:rPr>
          <w:rFonts w:hint="cs"/>
          <w:rtl/>
        </w:rPr>
        <w:t xml:space="preserve"> נבחרים</w:t>
      </w:r>
    </w:p>
    <w:p w:rsidR="00B21DD9" w:rsidRPr="0060575D" w:rsidRDefault="00FD1F8C" w:rsidP="00337559">
      <w:pPr>
        <w:pStyle w:val="4"/>
        <w:spacing w:before="120"/>
        <w:rPr>
          <w:noProof/>
          <w:rtl/>
        </w:rPr>
      </w:pPr>
      <w:r w:rsidRPr="0060575D">
        <w:rPr>
          <w:rFonts w:hint="cs"/>
          <w:noProof/>
          <w:rtl/>
        </w:rPr>
        <w:t>בנזין</w:t>
      </w:r>
    </w:p>
    <w:p w:rsidR="00B21DD9" w:rsidRPr="0060575D" w:rsidRDefault="00B21DD9" w:rsidP="00EC5944">
      <w:pPr>
        <w:rPr>
          <w:noProof/>
          <w:rtl/>
        </w:rPr>
      </w:pPr>
      <w:r w:rsidRPr="0060575D">
        <w:rPr>
          <w:rFonts w:hint="cs"/>
          <w:noProof/>
          <w:rtl/>
        </w:rPr>
        <w:t>בשנת 201</w:t>
      </w:r>
      <w:r w:rsidR="001A7D74" w:rsidRPr="0060575D">
        <w:rPr>
          <w:rFonts w:hint="cs"/>
          <w:noProof/>
          <w:rtl/>
        </w:rPr>
        <w:t>8</w:t>
      </w:r>
      <w:r w:rsidRPr="0060575D">
        <w:rPr>
          <w:rFonts w:hint="cs"/>
          <w:noProof/>
          <w:rtl/>
        </w:rPr>
        <w:t xml:space="preserve"> השימושים של בנזין כללו צריכה סופית של 3,</w:t>
      </w:r>
      <w:r w:rsidR="000202D3" w:rsidRPr="0060575D">
        <w:rPr>
          <w:rFonts w:hint="cs"/>
          <w:noProof/>
          <w:rtl/>
        </w:rPr>
        <w:t>21</w:t>
      </w:r>
      <w:r w:rsidR="0060575D" w:rsidRPr="0060575D">
        <w:rPr>
          <w:rFonts w:hint="cs"/>
          <w:noProof/>
          <w:rtl/>
        </w:rPr>
        <w:t>9</w:t>
      </w:r>
      <w:r w:rsidRPr="0060575D">
        <w:rPr>
          <w:rFonts w:hint="cs"/>
          <w:noProof/>
          <w:rtl/>
        </w:rPr>
        <w:t xml:space="preserve"> אלפי שעט"ן, </w:t>
      </w:r>
      <w:r w:rsidR="002D66C9" w:rsidRPr="0060575D">
        <w:rPr>
          <w:rFonts w:hint="cs"/>
          <w:noProof/>
          <w:rtl/>
        </w:rPr>
        <w:t>בדומה ל</w:t>
      </w:r>
      <w:r w:rsidRPr="0060575D">
        <w:rPr>
          <w:rFonts w:hint="cs"/>
          <w:noProof/>
          <w:rtl/>
        </w:rPr>
        <w:t>שנת 201</w:t>
      </w:r>
      <w:r w:rsidR="001A7D74" w:rsidRPr="0060575D">
        <w:rPr>
          <w:rFonts w:hint="cs"/>
          <w:noProof/>
          <w:rtl/>
        </w:rPr>
        <w:t>7</w:t>
      </w:r>
      <w:r w:rsidRPr="0060575D">
        <w:rPr>
          <w:rFonts w:hint="cs"/>
          <w:noProof/>
          <w:rtl/>
        </w:rPr>
        <w:t xml:space="preserve">, ויצוא של </w:t>
      </w:r>
      <w:r w:rsidR="001A7D74" w:rsidRPr="0060575D">
        <w:rPr>
          <w:rFonts w:hint="cs"/>
          <w:noProof/>
          <w:rtl/>
        </w:rPr>
        <w:t>88</w:t>
      </w:r>
      <w:r w:rsidR="0060575D" w:rsidRPr="0060575D">
        <w:rPr>
          <w:rFonts w:hint="cs"/>
          <w:noProof/>
          <w:rtl/>
        </w:rPr>
        <w:t>5</w:t>
      </w:r>
      <w:r w:rsidRPr="0060575D">
        <w:rPr>
          <w:rFonts w:hint="cs"/>
          <w:noProof/>
          <w:rtl/>
        </w:rPr>
        <w:t xml:space="preserve"> אלפי שעט"ן </w:t>
      </w:r>
      <w:r w:rsidR="00EC5944">
        <w:rPr>
          <w:rFonts w:hint="eastAsia"/>
          <w:noProof/>
          <w:rtl/>
        </w:rPr>
        <w:t>–</w:t>
      </w:r>
      <w:r w:rsidR="000202D3" w:rsidRPr="0060575D">
        <w:rPr>
          <w:rFonts w:hint="cs"/>
          <w:noProof/>
          <w:rtl/>
        </w:rPr>
        <w:t xml:space="preserve"> </w:t>
      </w:r>
      <w:r w:rsidR="001A7D74" w:rsidRPr="0060575D">
        <w:rPr>
          <w:rFonts w:hint="cs"/>
          <w:noProof/>
          <w:rtl/>
        </w:rPr>
        <w:t>עלייה</w:t>
      </w:r>
      <w:r w:rsidR="000202D3" w:rsidRPr="0060575D">
        <w:rPr>
          <w:rFonts w:hint="cs"/>
          <w:noProof/>
          <w:rtl/>
        </w:rPr>
        <w:t xml:space="preserve"> בשיעור </w:t>
      </w:r>
      <w:r w:rsidR="0060575D" w:rsidRPr="0060575D">
        <w:rPr>
          <w:rFonts w:hint="cs"/>
          <w:noProof/>
          <w:rtl/>
        </w:rPr>
        <w:t>69.9</w:t>
      </w:r>
      <w:r w:rsidR="000202D3" w:rsidRPr="0060575D">
        <w:rPr>
          <w:rFonts w:hint="cs"/>
          <w:noProof/>
          <w:rtl/>
        </w:rPr>
        <w:t>% לעומת שנה קודמת (5</w:t>
      </w:r>
      <w:r w:rsidR="001A7D74" w:rsidRPr="0060575D">
        <w:rPr>
          <w:rFonts w:hint="cs"/>
          <w:noProof/>
          <w:rtl/>
        </w:rPr>
        <w:t>21</w:t>
      </w:r>
      <w:r w:rsidR="000202D3" w:rsidRPr="0060575D">
        <w:rPr>
          <w:rFonts w:hint="cs"/>
          <w:noProof/>
          <w:rtl/>
        </w:rPr>
        <w:t xml:space="preserve"> אלפי שעט"ן)</w:t>
      </w:r>
      <w:r w:rsidRPr="0060575D">
        <w:rPr>
          <w:rFonts w:hint="cs"/>
          <w:noProof/>
          <w:rtl/>
        </w:rPr>
        <w:t>. יבוא הבנזין</w:t>
      </w:r>
      <w:r w:rsidR="00564FE1" w:rsidRPr="0060575D">
        <w:rPr>
          <w:rFonts w:hint="cs"/>
          <w:noProof/>
          <w:rtl/>
        </w:rPr>
        <w:t xml:space="preserve"> </w:t>
      </w:r>
      <w:r w:rsidR="001A7D74" w:rsidRPr="0060575D">
        <w:rPr>
          <w:rFonts w:hint="cs"/>
          <w:noProof/>
          <w:rtl/>
        </w:rPr>
        <w:t>עלה</w:t>
      </w:r>
      <w:r w:rsidR="000202D3" w:rsidRPr="0060575D">
        <w:rPr>
          <w:rFonts w:hint="cs"/>
          <w:noProof/>
          <w:rtl/>
        </w:rPr>
        <w:t xml:space="preserve"> אף הוא, אך בשיעור נמוך יותר של </w:t>
      </w:r>
      <w:r w:rsidR="001A7D74" w:rsidRPr="0060575D">
        <w:rPr>
          <w:rFonts w:hint="cs"/>
          <w:noProof/>
          <w:rtl/>
        </w:rPr>
        <w:t>30.8</w:t>
      </w:r>
      <w:r w:rsidR="000202D3" w:rsidRPr="0060575D">
        <w:rPr>
          <w:rFonts w:hint="cs"/>
          <w:noProof/>
          <w:rtl/>
        </w:rPr>
        <w:t>%</w:t>
      </w:r>
      <w:r w:rsidR="00564FE1" w:rsidRPr="0060575D">
        <w:rPr>
          <w:rFonts w:hint="cs"/>
          <w:noProof/>
          <w:rtl/>
        </w:rPr>
        <w:t xml:space="preserve"> </w:t>
      </w:r>
      <w:r w:rsidR="000202D3" w:rsidRPr="0060575D">
        <w:rPr>
          <w:rFonts w:hint="cs"/>
          <w:noProof/>
          <w:rtl/>
        </w:rPr>
        <w:t>והסתכם</w:t>
      </w:r>
      <w:r w:rsidRPr="0060575D">
        <w:rPr>
          <w:rFonts w:hint="cs"/>
          <w:noProof/>
          <w:rtl/>
        </w:rPr>
        <w:t xml:space="preserve"> </w:t>
      </w:r>
      <w:r w:rsidR="00EC5944">
        <w:rPr>
          <w:rFonts w:hint="cs"/>
          <w:noProof/>
          <w:rtl/>
        </w:rPr>
        <w:t>ב-</w:t>
      </w:r>
      <w:r w:rsidR="001A7D74" w:rsidRPr="0060575D">
        <w:rPr>
          <w:rFonts w:hint="cs"/>
          <w:noProof/>
          <w:rtl/>
        </w:rPr>
        <w:t>902</w:t>
      </w:r>
      <w:r w:rsidRPr="0060575D">
        <w:rPr>
          <w:rFonts w:hint="cs"/>
          <w:noProof/>
          <w:rtl/>
        </w:rPr>
        <w:t xml:space="preserve"> אלפי שעט"ן </w:t>
      </w:r>
      <w:r w:rsidR="00564FE1" w:rsidRPr="0060575D">
        <w:rPr>
          <w:rFonts w:hint="cs"/>
          <w:noProof/>
          <w:rtl/>
        </w:rPr>
        <w:t>לעומת</w:t>
      </w:r>
      <w:r w:rsidR="000202D3" w:rsidRPr="0060575D">
        <w:rPr>
          <w:rFonts w:hint="cs"/>
          <w:noProof/>
          <w:rtl/>
        </w:rPr>
        <w:t xml:space="preserve"> </w:t>
      </w:r>
      <w:r w:rsidR="001A7D74" w:rsidRPr="0060575D">
        <w:rPr>
          <w:rFonts w:hint="cs"/>
          <w:noProof/>
          <w:rtl/>
        </w:rPr>
        <w:t>690</w:t>
      </w:r>
      <w:r w:rsidR="000202D3" w:rsidRPr="0060575D">
        <w:rPr>
          <w:rFonts w:hint="cs"/>
          <w:noProof/>
          <w:rtl/>
        </w:rPr>
        <w:t xml:space="preserve"> אלפי שעט"ן בשנת 201</w:t>
      </w:r>
      <w:r w:rsidR="001A7D74" w:rsidRPr="0060575D">
        <w:rPr>
          <w:rFonts w:hint="cs"/>
          <w:noProof/>
          <w:rtl/>
        </w:rPr>
        <w:t>7</w:t>
      </w:r>
      <w:r w:rsidRPr="0060575D">
        <w:rPr>
          <w:rFonts w:hint="cs"/>
          <w:noProof/>
          <w:rtl/>
        </w:rPr>
        <w:t xml:space="preserve">. </w:t>
      </w:r>
    </w:p>
    <w:p w:rsidR="00FD1F8C" w:rsidRPr="0060575D" w:rsidRDefault="00FD1F8C" w:rsidP="00337559">
      <w:pPr>
        <w:pStyle w:val="4"/>
        <w:spacing w:before="120"/>
        <w:rPr>
          <w:noProof/>
          <w:rtl/>
        </w:rPr>
      </w:pPr>
      <w:r w:rsidRPr="0060575D">
        <w:rPr>
          <w:rFonts w:hint="cs"/>
          <w:noProof/>
          <w:rtl/>
        </w:rPr>
        <w:t>מזוט</w:t>
      </w:r>
    </w:p>
    <w:p w:rsidR="00564FE1" w:rsidRPr="00BD1EDC" w:rsidRDefault="00564FE1" w:rsidP="00BD1EDC">
      <w:pPr>
        <w:rPr>
          <w:noProof/>
          <w:rtl/>
        </w:rPr>
      </w:pPr>
      <w:r w:rsidRPr="00BD1EDC">
        <w:rPr>
          <w:rFonts w:hint="cs"/>
          <w:noProof/>
          <w:rtl/>
        </w:rPr>
        <w:t>המקור היחידי למזוט בשנת 201</w:t>
      </w:r>
      <w:r w:rsidR="001A7D74" w:rsidRPr="00BD1EDC">
        <w:rPr>
          <w:rFonts w:hint="cs"/>
          <w:noProof/>
          <w:rtl/>
        </w:rPr>
        <w:t>8</w:t>
      </w:r>
      <w:r w:rsidRPr="00BD1EDC">
        <w:rPr>
          <w:rFonts w:hint="cs"/>
          <w:noProof/>
          <w:rtl/>
        </w:rPr>
        <w:t xml:space="preserve"> היה </w:t>
      </w:r>
      <w:r w:rsidR="00581FC2" w:rsidRPr="00BD1EDC">
        <w:rPr>
          <w:rFonts w:hint="cs"/>
          <w:noProof/>
          <w:rtl/>
        </w:rPr>
        <w:t>ייצור מקומי שעמד</w:t>
      </w:r>
      <w:r w:rsidRPr="00BD1EDC">
        <w:rPr>
          <w:rFonts w:hint="cs"/>
          <w:noProof/>
          <w:rtl/>
        </w:rPr>
        <w:t xml:space="preserve"> על 2,</w:t>
      </w:r>
      <w:r w:rsidR="000202D3" w:rsidRPr="00BD1EDC">
        <w:rPr>
          <w:rFonts w:hint="cs"/>
          <w:noProof/>
          <w:rtl/>
        </w:rPr>
        <w:t>4</w:t>
      </w:r>
      <w:r w:rsidR="001A7D74" w:rsidRPr="00BD1EDC">
        <w:rPr>
          <w:rFonts w:hint="cs"/>
          <w:noProof/>
          <w:rtl/>
        </w:rPr>
        <w:t>72</w:t>
      </w:r>
      <w:r w:rsidR="00581FC2" w:rsidRPr="00BD1EDC">
        <w:rPr>
          <w:rFonts w:hint="cs"/>
          <w:noProof/>
          <w:rtl/>
        </w:rPr>
        <w:t xml:space="preserve"> אלפי שעט"ן. </w:t>
      </w:r>
      <w:r w:rsidRPr="00BD1EDC">
        <w:rPr>
          <w:rFonts w:hint="cs"/>
          <w:noProof/>
          <w:rtl/>
        </w:rPr>
        <w:t>השימוש העיקרי בו היה ליצוא ו</w:t>
      </w:r>
      <w:r w:rsidR="00EC5944">
        <w:rPr>
          <w:rFonts w:hint="cs"/>
          <w:noProof/>
          <w:rtl/>
        </w:rPr>
        <w:t>ל</w:t>
      </w:r>
      <w:r w:rsidRPr="00BD1EDC">
        <w:rPr>
          <w:rFonts w:hint="cs"/>
          <w:noProof/>
          <w:rtl/>
        </w:rPr>
        <w:t xml:space="preserve">תדלוק </w:t>
      </w:r>
      <w:r w:rsidR="00A845E0" w:rsidRPr="00BD1EDC">
        <w:rPr>
          <w:rFonts w:hint="cs"/>
          <w:noProof/>
          <w:rtl/>
        </w:rPr>
        <w:t xml:space="preserve">בין-לאומי של </w:t>
      </w:r>
      <w:r w:rsidRPr="00BD1EDC">
        <w:rPr>
          <w:rFonts w:hint="cs"/>
          <w:noProof/>
          <w:rtl/>
        </w:rPr>
        <w:t xml:space="preserve">אוניות </w:t>
      </w:r>
      <w:r w:rsidR="00A845E0" w:rsidRPr="00BD1EDC">
        <w:rPr>
          <w:rFonts w:hint="cs"/>
          <w:noProof/>
          <w:rtl/>
        </w:rPr>
        <w:t>(</w:t>
      </w:r>
      <w:r w:rsidRPr="00BD1EDC">
        <w:rPr>
          <w:noProof/>
          <w:rtl/>
        </w:rPr>
        <w:t>2,</w:t>
      </w:r>
      <w:r w:rsidR="007B1E3C" w:rsidRPr="00BD1EDC">
        <w:rPr>
          <w:rFonts w:hint="cs"/>
          <w:noProof/>
          <w:rtl/>
        </w:rPr>
        <w:t>20</w:t>
      </w:r>
      <w:r w:rsidR="00BD1EDC" w:rsidRPr="00BD1EDC">
        <w:rPr>
          <w:rFonts w:hint="cs"/>
          <w:noProof/>
          <w:rtl/>
        </w:rPr>
        <w:t>6</w:t>
      </w:r>
      <w:r w:rsidRPr="00BD1EDC">
        <w:rPr>
          <w:noProof/>
          <w:rtl/>
        </w:rPr>
        <w:t xml:space="preserve"> </w:t>
      </w:r>
      <w:r w:rsidRPr="00BD1EDC">
        <w:rPr>
          <w:rFonts w:hint="cs"/>
          <w:noProof/>
          <w:rtl/>
        </w:rPr>
        <w:t>אלפי שעט"ן</w:t>
      </w:r>
      <w:r w:rsidR="00A845E0" w:rsidRPr="00BD1EDC">
        <w:rPr>
          <w:rFonts w:hint="cs"/>
          <w:noProof/>
          <w:rtl/>
        </w:rPr>
        <w:t>)</w:t>
      </w:r>
      <w:r w:rsidRPr="00BD1EDC">
        <w:rPr>
          <w:rFonts w:hint="cs"/>
          <w:noProof/>
          <w:rtl/>
        </w:rPr>
        <w:t xml:space="preserve">. כמויות נמוכות יחסית של </w:t>
      </w:r>
      <w:r w:rsidRPr="00BD1EDC">
        <w:rPr>
          <w:noProof/>
          <w:rtl/>
        </w:rPr>
        <w:t>2</w:t>
      </w:r>
      <w:r w:rsidR="007B1E3C" w:rsidRPr="00BD1EDC">
        <w:rPr>
          <w:rFonts w:hint="cs"/>
          <w:noProof/>
          <w:rtl/>
        </w:rPr>
        <w:t>1</w:t>
      </w:r>
      <w:r w:rsidRPr="00BD1EDC">
        <w:rPr>
          <w:rFonts w:hint="cs"/>
          <w:noProof/>
          <w:rtl/>
        </w:rPr>
        <w:t>2</w:t>
      </w:r>
      <w:r w:rsidRPr="00BD1EDC">
        <w:rPr>
          <w:noProof/>
          <w:rtl/>
        </w:rPr>
        <w:t xml:space="preserve"> </w:t>
      </w:r>
      <w:r w:rsidRPr="00BD1EDC">
        <w:rPr>
          <w:rFonts w:hint="cs"/>
          <w:noProof/>
          <w:rtl/>
        </w:rPr>
        <w:t xml:space="preserve">אלפי שעט"ן מזוט שימשו לצריכה סופית וצריכה לייצור חשמל, </w:t>
      </w:r>
      <w:r w:rsidR="00A845E0" w:rsidRPr="00BD1EDC">
        <w:rPr>
          <w:rFonts w:hint="cs"/>
          <w:noProof/>
          <w:rtl/>
        </w:rPr>
        <w:t xml:space="preserve">והן </w:t>
      </w:r>
      <w:r w:rsidRPr="00BD1EDC">
        <w:rPr>
          <w:rFonts w:hint="cs"/>
          <w:noProof/>
          <w:rtl/>
        </w:rPr>
        <w:t>ירדו ב-</w:t>
      </w:r>
      <w:r w:rsidR="00D67EF0" w:rsidRPr="00BD1EDC">
        <w:rPr>
          <w:rFonts w:hint="cs"/>
          <w:noProof/>
          <w:rtl/>
        </w:rPr>
        <w:t>17</w:t>
      </w:r>
      <w:r w:rsidRPr="00BD1EDC">
        <w:rPr>
          <w:rFonts w:hint="cs"/>
          <w:noProof/>
          <w:rtl/>
        </w:rPr>
        <w:t>% לעומת שנת 201</w:t>
      </w:r>
      <w:r w:rsidR="00D67EF0" w:rsidRPr="00BD1EDC">
        <w:rPr>
          <w:rFonts w:hint="cs"/>
          <w:noProof/>
          <w:rtl/>
        </w:rPr>
        <w:t>7 (255.4 אלפי שעט"ן)</w:t>
      </w:r>
      <w:r w:rsidRPr="00BD1EDC">
        <w:rPr>
          <w:rFonts w:hint="cs"/>
          <w:noProof/>
          <w:rtl/>
        </w:rPr>
        <w:t>.</w:t>
      </w:r>
    </w:p>
    <w:p w:rsidR="00FD1F8C" w:rsidRPr="00BD1EDC" w:rsidRDefault="00FD1F8C" w:rsidP="00337559">
      <w:pPr>
        <w:pStyle w:val="4"/>
        <w:spacing w:before="120"/>
        <w:rPr>
          <w:noProof/>
          <w:rtl/>
        </w:rPr>
      </w:pPr>
      <w:r w:rsidRPr="00BD1EDC">
        <w:rPr>
          <w:rFonts w:hint="cs"/>
          <w:noProof/>
          <w:rtl/>
        </w:rPr>
        <w:t>סולר</w:t>
      </w:r>
    </w:p>
    <w:p w:rsidR="00A845E0" w:rsidRPr="00BD1EDC" w:rsidRDefault="00A845E0" w:rsidP="00EC5944">
      <w:pPr>
        <w:rPr>
          <w:rtl/>
        </w:rPr>
      </w:pPr>
      <w:r w:rsidRPr="00BD1EDC">
        <w:rPr>
          <w:rFonts w:hint="cs"/>
          <w:noProof/>
          <w:rtl/>
        </w:rPr>
        <w:t>בשנת 201</w:t>
      </w:r>
      <w:r w:rsidR="004E242D" w:rsidRPr="00BD1EDC">
        <w:rPr>
          <w:rFonts w:hint="cs"/>
          <w:noProof/>
          <w:rtl/>
        </w:rPr>
        <w:t>8</w:t>
      </w:r>
      <w:r w:rsidRPr="00BD1EDC">
        <w:rPr>
          <w:rFonts w:hint="cs"/>
          <w:noProof/>
          <w:rtl/>
        </w:rPr>
        <w:t xml:space="preserve"> המקור המרכזי לסולר היה </w:t>
      </w:r>
      <w:r w:rsidR="00581FC2" w:rsidRPr="00BD1EDC">
        <w:rPr>
          <w:rFonts w:hint="cs"/>
          <w:noProof/>
          <w:rtl/>
        </w:rPr>
        <w:t>ייצור מקומי</w:t>
      </w:r>
      <w:r w:rsidRPr="00BD1EDC">
        <w:rPr>
          <w:rFonts w:hint="cs"/>
          <w:noProof/>
          <w:rtl/>
        </w:rPr>
        <w:t xml:space="preserve"> </w:t>
      </w:r>
      <w:r w:rsidR="00F15539" w:rsidRPr="00BD1EDC">
        <w:rPr>
          <w:rFonts w:hint="cs"/>
          <w:noProof/>
          <w:rtl/>
        </w:rPr>
        <w:t>(</w:t>
      </w:r>
      <w:r w:rsidRPr="00BD1EDC">
        <w:rPr>
          <w:rFonts w:hint="cs"/>
          <w:noProof/>
          <w:rtl/>
        </w:rPr>
        <w:t>4,</w:t>
      </w:r>
      <w:r w:rsidR="004E242D" w:rsidRPr="00BD1EDC">
        <w:rPr>
          <w:rFonts w:hint="cs"/>
          <w:noProof/>
          <w:rtl/>
        </w:rPr>
        <w:t>956</w:t>
      </w:r>
      <w:r w:rsidRPr="00BD1EDC">
        <w:rPr>
          <w:rFonts w:hint="cs"/>
          <w:noProof/>
          <w:rtl/>
        </w:rPr>
        <w:t xml:space="preserve"> אלפי שעט"ן</w:t>
      </w:r>
      <w:r w:rsidR="00F15539" w:rsidRPr="00BD1EDC">
        <w:rPr>
          <w:rFonts w:hint="cs"/>
          <w:noProof/>
          <w:rtl/>
        </w:rPr>
        <w:t>)</w:t>
      </w:r>
      <w:r w:rsidR="00581FC2" w:rsidRPr="00BD1EDC">
        <w:rPr>
          <w:rFonts w:hint="cs"/>
          <w:noProof/>
          <w:rtl/>
        </w:rPr>
        <w:t xml:space="preserve"> שעל</w:t>
      </w:r>
      <w:r w:rsidRPr="00BD1EDC">
        <w:rPr>
          <w:rFonts w:hint="cs"/>
          <w:noProof/>
          <w:rtl/>
        </w:rPr>
        <w:t>ה ב</w:t>
      </w:r>
      <w:r w:rsidR="004E242D" w:rsidRPr="00BD1EDC">
        <w:rPr>
          <w:rFonts w:hint="cs"/>
          <w:noProof/>
          <w:rtl/>
        </w:rPr>
        <w:t xml:space="preserve">-5.3% לעומת </w:t>
      </w:r>
      <w:r w:rsidR="00EC5944">
        <w:rPr>
          <w:rFonts w:hint="cs"/>
          <w:noProof/>
          <w:rtl/>
        </w:rPr>
        <w:t>ה</w:t>
      </w:r>
      <w:r w:rsidR="004E242D" w:rsidRPr="00BD1EDC">
        <w:rPr>
          <w:rFonts w:hint="cs"/>
          <w:noProof/>
          <w:rtl/>
        </w:rPr>
        <w:t xml:space="preserve">שנה </w:t>
      </w:r>
      <w:r w:rsidR="00EC5944">
        <w:rPr>
          <w:rFonts w:hint="cs"/>
          <w:noProof/>
          <w:rtl/>
        </w:rPr>
        <w:t>ה</w:t>
      </w:r>
      <w:r w:rsidR="004E242D" w:rsidRPr="00BD1EDC">
        <w:rPr>
          <w:rFonts w:hint="cs"/>
          <w:noProof/>
          <w:rtl/>
        </w:rPr>
        <w:t>קודמת</w:t>
      </w:r>
      <w:r w:rsidR="004E242D" w:rsidRPr="00BD1EDC">
        <w:rPr>
          <w:rFonts w:hint="cs"/>
          <w:rtl/>
        </w:rPr>
        <w:t>.</w:t>
      </w:r>
    </w:p>
    <w:p w:rsidR="00A845E0" w:rsidRPr="00BD1EDC" w:rsidRDefault="00A845E0" w:rsidP="008502F5">
      <w:pPr>
        <w:rPr>
          <w:noProof/>
          <w:rtl/>
        </w:rPr>
      </w:pPr>
      <w:r w:rsidRPr="00BD1EDC">
        <w:rPr>
          <w:rFonts w:hint="cs"/>
          <w:noProof/>
          <w:rtl/>
        </w:rPr>
        <w:t xml:space="preserve">השימושים של סולר כללו: </w:t>
      </w:r>
    </w:p>
    <w:p w:rsidR="00A845E0" w:rsidRPr="00BD1EDC" w:rsidRDefault="00A845E0" w:rsidP="00EC5944">
      <w:pPr>
        <w:pStyle w:val="af7"/>
        <w:numPr>
          <w:ilvl w:val="1"/>
          <w:numId w:val="36"/>
        </w:numPr>
        <w:tabs>
          <w:tab w:val="left" w:pos="9655"/>
        </w:tabs>
        <w:ind w:right="567"/>
        <w:rPr>
          <w:noProof/>
          <w:rtl/>
        </w:rPr>
      </w:pPr>
      <w:r w:rsidRPr="00BD1EDC">
        <w:rPr>
          <w:rFonts w:hint="cs"/>
          <w:noProof/>
          <w:rtl/>
        </w:rPr>
        <w:t>צריכה סופית וצריכה לייצור חשמל (2,</w:t>
      </w:r>
      <w:r w:rsidR="004E242D" w:rsidRPr="00BD1EDC">
        <w:rPr>
          <w:rFonts w:hint="cs"/>
          <w:noProof/>
          <w:rtl/>
        </w:rPr>
        <w:t>876</w:t>
      </w:r>
      <w:r w:rsidR="00EC5944">
        <w:rPr>
          <w:rFonts w:hint="cs"/>
          <w:noProof/>
          <w:rtl/>
        </w:rPr>
        <w:t xml:space="preserve"> אלפי שעט"ן)</w:t>
      </w:r>
      <w:r w:rsidRPr="00BD1EDC">
        <w:rPr>
          <w:rFonts w:hint="cs"/>
          <w:noProof/>
          <w:rtl/>
        </w:rPr>
        <w:t xml:space="preserve"> </w:t>
      </w:r>
      <w:r w:rsidR="002C48D1" w:rsidRPr="00BD1EDC">
        <w:rPr>
          <w:rFonts w:hint="cs"/>
          <w:noProof/>
          <w:rtl/>
        </w:rPr>
        <w:t>שעלו ב</w:t>
      </w:r>
      <w:r w:rsidR="00EC5944">
        <w:rPr>
          <w:rFonts w:hint="cs"/>
          <w:noProof/>
          <w:rtl/>
        </w:rPr>
        <w:t>-</w:t>
      </w:r>
      <w:r w:rsidR="004E242D" w:rsidRPr="00BD1EDC">
        <w:rPr>
          <w:rFonts w:hint="cs"/>
          <w:noProof/>
          <w:rtl/>
        </w:rPr>
        <w:t>1.1</w:t>
      </w:r>
      <w:r w:rsidR="002C48D1" w:rsidRPr="00BD1EDC">
        <w:rPr>
          <w:rFonts w:hint="cs"/>
          <w:noProof/>
          <w:rtl/>
        </w:rPr>
        <w:t>%</w:t>
      </w:r>
      <w:r w:rsidRPr="00BD1EDC">
        <w:rPr>
          <w:rFonts w:hint="cs"/>
          <w:noProof/>
          <w:rtl/>
        </w:rPr>
        <w:t xml:space="preserve"> לעומת שנת 2</w:t>
      </w:r>
      <w:r w:rsidR="002C48D1" w:rsidRPr="00BD1EDC">
        <w:rPr>
          <w:rFonts w:hint="cs"/>
          <w:noProof/>
          <w:rtl/>
        </w:rPr>
        <w:t>01</w:t>
      </w:r>
      <w:r w:rsidR="004E242D" w:rsidRPr="00BD1EDC">
        <w:rPr>
          <w:rFonts w:hint="cs"/>
          <w:noProof/>
          <w:rtl/>
        </w:rPr>
        <w:t>7</w:t>
      </w:r>
      <w:r w:rsidRPr="00BD1EDC">
        <w:rPr>
          <w:rFonts w:hint="cs"/>
          <w:noProof/>
          <w:rtl/>
        </w:rPr>
        <w:t xml:space="preserve"> </w:t>
      </w:r>
    </w:p>
    <w:p w:rsidR="00A845E0" w:rsidRPr="00BD1EDC" w:rsidRDefault="00A845E0" w:rsidP="006D1F44">
      <w:pPr>
        <w:pStyle w:val="af7"/>
        <w:numPr>
          <w:ilvl w:val="1"/>
          <w:numId w:val="36"/>
        </w:numPr>
        <w:tabs>
          <w:tab w:val="left" w:pos="9655"/>
        </w:tabs>
        <w:ind w:right="567"/>
        <w:rPr>
          <w:noProof/>
          <w:rtl/>
        </w:rPr>
      </w:pPr>
      <w:r w:rsidRPr="00BD1EDC">
        <w:rPr>
          <w:rFonts w:hint="cs"/>
          <w:noProof/>
          <w:rtl/>
        </w:rPr>
        <w:t>יצוא ותדלוק בין-לאומי של אוניות (</w:t>
      </w:r>
      <w:r w:rsidRPr="00BD1EDC">
        <w:rPr>
          <w:noProof/>
          <w:rtl/>
        </w:rPr>
        <w:t>2,</w:t>
      </w:r>
      <w:r w:rsidR="006D1F44" w:rsidRPr="00BD1EDC">
        <w:rPr>
          <w:rFonts w:hint="cs"/>
          <w:noProof/>
          <w:rtl/>
        </w:rPr>
        <w:t>279</w:t>
      </w:r>
      <w:r w:rsidRPr="00BD1EDC">
        <w:rPr>
          <w:rFonts w:hint="cs"/>
          <w:noProof/>
          <w:rtl/>
        </w:rPr>
        <w:t xml:space="preserve"> אלפי</w:t>
      </w:r>
      <w:r w:rsidR="00EC5944">
        <w:rPr>
          <w:rFonts w:hint="cs"/>
          <w:noProof/>
          <w:rtl/>
        </w:rPr>
        <w:t xml:space="preserve"> שעט"ן)</w:t>
      </w:r>
      <w:r w:rsidRPr="00BD1EDC">
        <w:rPr>
          <w:rFonts w:hint="cs"/>
          <w:noProof/>
          <w:rtl/>
        </w:rPr>
        <w:t xml:space="preserve"> אשר </w:t>
      </w:r>
      <w:r w:rsidR="002C48D1" w:rsidRPr="00BD1EDC">
        <w:rPr>
          <w:rFonts w:hint="cs"/>
          <w:noProof/>
          <w:rtl/>
        </w:rPr>
        <w:t>עלה</w:t>
      </w:r>
      <w:r w:rsidRPr="00BD1EDC">
        <w:rPr>
          <w:rFonts w:hint="cs"/>
          <w:noProof/>
          <w:rtl/>
        </w:rPr>
        <w:t xml:space="preserve"> ב-</w:t>
      </w:r>
      <w:r w:rsidR="006D1F44" w:rsidRPr="00BD1EDC">
        <w:rPr>
          <w:rFonts w:hint="cs"/>
          <w:noProof/>
          <w:rtl/>
        </w:rPr>
        <w:t>10.8</w:t>
      </w:r>
      <w:r w:rsidRPr="00BD1EDC">
        <w:rPr>
          <w:rFonts w:hint="cs"/>
          <w:noProof/>
          <w:rtl/>
        </w:rPr>
        <w:t>% לעומת שנת 201</w:t>
      </w:r>
      <w:r w:rsidR="006D1F44" w:rsidRPr="00BD1EDC">
        <w:rPr>
          <w:rFonts w:hint="cs"/>
          <w:noProof/>
          <w:rtl/>
        </w:rPr>
        <w:t>7</w:t>
      </w:r>
      <w:r w:rsidR="002C48D1" w:rsidRPr="00BD1EDC">
        <w:rPr>
          <w:rFonts w:hint="cs"/>
          <w:noProof/>
          <w:rtl/>
        </w:rPr>
        <w:t>.</w:t>
      </w:r>
      <w:r w:rsidRPr="00BD1EDC">
        <w:rPr>
          <w:rFonts w:hint="cs"/>
          <w:noProof/>
          <w:rtl/>
        </w:rPr>
        <w:t xml:space="preserve"> </w:t>
      </w:r>
    </w:p>
    <w:p w:rsidR="00D46347" w:rsidRPr="00BD1EDC" w:rsidRDefault="00BD7E1E" w:rsidP="00703DE4">
      <w:pPr>
        <w:pStyle w:val="2"/>
        <w:rPr>
          <w:rtl/>
        </w:rPr>
      </w:pPr>
      <w:r w:rsidRPr="00955058">
        <w:rPr>
          <w:color w:val="FF0000"/>
          <w:rtl/>
        </w:rPr>
        <w:br w:type="page"/>
      </w:r>
      <w:r w:rsidR="00D46347" w:rsidRPr="00BD1EDC">
        <w:rPr>
          <w:rtl/>
        </w:rPr>
        <w:lastRenderedPageBreak/>
        <w:t>ייצור חשמל</w:t>
      </w:r>
    </w:p>
    <w:p w:rsidR="009B0860" w:rsidRPr="00BD1EDC" w:rsidRDefault="00DC1CD4" w:rsidP="002E238E">
      <w:pPr>
        <w:rPr>
          <w:spacing w:val="-2"/>
          <w:rtl/>
        </w:rPr>
      </w:pPr>
      <w:r w:rsidRPr="00BD1EDC">
        <w:rPr>
          <w:rtl/>
        </w:rPr>
        <w:t xml:space="preserve">סך ייצור החשמל בשנת 2018, כולל ייצור של חברת החשמל ויצרנים פרטיים, עמד על 69,004 מיליוני </w:t>
      </w:r>
      <w:proofErr w:type="spellStart"/>
      <w:r w:rsidRPr="00BD1EDC">
        <w:rPr>
          <w:rtl/>
        </w:rPr>
        <w:t>קוט"ש</w:t>
      </w:r>
      <w:proofErr w:type="spellEnd"/>
      <w:r w:rsidRPr="00BD1EDC">
        <w:rPr>
          <w:rtl/>
        </w:rPr>
        <w:t xml:space="preserve">. ייצור החשמל עלה ב-2.1% לעומת שנת 2017. ייצור החשמל ע"י יצרניות פרטיות היווה 30.6% מסך ייצור החשמל (28.0% מאנרגיה שאינה מתחדשת ו-2.6% מאנרגיה מתחדשת) לעומת </w:t>
      </w:r>
      <w:r w:rsidR="00EF5986">
        <w:rPr>
          <w:rFonts w:hint="cs"/>
          <w:rtl/>
        </w:rPr>
        <w:t xml:space="preserve">27.6 בשנת 2017 ו </w:t>
      </w:r>
      <w:r w:rsidR="002E238E" w:rsidRPr="00BD1EDC">
        <w:rPr>
          <w:rFonts w:hint="cs"/>
          <w:rtl/>
        </w:rPr>
        <w:t>6.9</w:t>
      </w:r>
      <w:r w:rsidRPr="00BD1EDC">
        <w:rPr>
          <w:rtl/>
        </w:rPr>
        <w:t xml:space="preserve">% בשנת </w:t>
      </w:r>
      <w:r w:rsidR="002E238E" w:rsidRPr="00BD1EDC">
        <w:rPr>
          <w:rtl/>
        </w:rPr>
        <w:t>201</w:t>
      </w:r>
      <w:r w:rsidR="002E238E" w:rsidRPr="00BD1EDC">
        <w:rPr>
          <w:rFonts w:hint="cs"/>
          <w:rtl/>
        </w:rPr>
        <w:t>3</w:t>
      </w:r>
      <w:r w:rsidRPr="00BD1EDC">
        <w:rPr>
          <w:rtl/>
        </w:rPr>
        <w:t>.</w:t>
      </w:r>
    </w:p>
    <w:p w:rsidR="002E238E" w:rsidRPr="00BD1EDC" w:rsidRDefault="002E238E" w:rsidP="00337559">
      <w:pPr>
        <w:spacing w:before="240"/>
        <w:jc w:val="center"/>
        <w:rPr>
          <w:bCs/>
          <w:spacing w:val="-2"/>
          <w:rtl/>
        </w:rPr>
      </w:pPr>
      <w:r w:rsidRPr="00BD1EDC">
        <w:rPr>
          <w:bCs/>
          <w:spacing w:val="-2"/>
          <w:rtl/>
        </w:rPr>
        <w:t xml:space="preserve">לוח </w:t>
      </w:r>
      <w:r w:rsidRPr="00BD1EDC">
        <w:rPr>
          <w:rFonts w:hint="cs"/>
          <w:bCs/>
          <w:spacing w:val="-2"/>
          <w:rtl/>
        </w:rPr>
        <w:t>ו</w:t>
      </w:r>
      <w:r w:rsidRPr="00BD1EDC">
        <w:rPr>
          <w:bCs/>
          <w:spacing w:val="-2"/>
          <w:rtl/>
        </w:rPr>
        <w:t xml:space="preserve"> </w:t>
      </w:r>
      <w:r w:rsidR="009C73C4">
        <w:rPr>
          <w:rFonts w:hint="cs"/>
          <w:bCs/>
          <w:spacing w:val="-2"/>
          <w:rtl/>
        </w:rPr>
        <w:t>-</w:t>
      </w:r>
      <w:r w:rsidRPr="00BD1EDC">
        <w:rPr>
          <w:rFonts w:hint="cs"/>
          <w:bCs/>
          <w:spacing w:val="-2"/>
          <w:rtl/>
        </w:rPr>
        <w:t xml:space="preserve"> חלקיות יצור חשמל לפי יצרן (באחוזים)</w:t>
      </w:r>
    </w:p>
    <w:tbl>
      <w:tblPr>
        <w:bidiVisual/>
        <w:tblW w:w="7794"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Caption w:val="לוח ה. יצוא מוצרי נפט (אלפי שעט&quot;ן)"/>
        <w:tblDescription w:val="לוח ה. יצוא מוצרי נפט (אלפי שעט&quot;ן)"/>
      </w:tblPr>
      <w:tblGrid>
        <w:gridCol w:w="2364"/>
        <w:gridCol w:w="905"/>
        <w:gridCol w:w="905"/>
        <w:gridCol w:w="905"/>
        <w:gridCol w:w="905"/>
        <w:gridCol w:w="905"/>
        <w:gridCol w:w="905"/>
      </w:tblGrid>
      <w:tr w:rsidR="00BD1EDC" w:rsidRPr="00BD1EDC" w:rsidTr="002E238E">
        <w:trPr>
          <w:trHeight w:val="655"/>
          <w:tblHeader/>
          <w:jc w:val="center"/>
        </w:trPr>
        <w:tc>
          <w:tcPr>
            <w:tcW w:w="2364" w:type="dxa"/>
            <w:tcBorders>
              <w:top w:val="double" w:sz="6" w:space="0" w:color="auto"/>
              <w:left w:val="single" w:sz="4" w:space="0" w:color="auto"/>
              <w:bottom w:val="single" w:sz="4" w:space="0" w:color="auto"/>
              <w:right w:val="single" w:sz="4" w:space="0" w:color="auto"/>
            </w:tcBorders>
            <w:noWrap/>
            <w:vAlign w:val="center"/>
          </w:tcPr>
          <w:p w:rsidR="002E238E" w:rsidRPr="00BD1EDC" w:rsidRDefault="00703DE4" w:rsidP="002E238E">
            <w:pPr>
              <w:rPr>
                <w:b/>
                <w:bCs/>
                <w:spacing w:val="-2"/>
              </w:rPr>
            </w:pPr>
            <w:r>
              <w:rPr>
                <w:rFonts w:hint="cs"/>
                <w:b/>
                <w:bCs/>
                <w:spacing w:val="-2"/>
                <w:rtl/>
              </w:rPr>
              <w:t>-</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rFonts w:hint="cs"/>
                <w:b/>
                <w:bCs/>
                <w:spacing w:val="-2"/>
                <w:rtl/>
              </w:rPr>
              <w:t>2013</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b/>
                <w:bCs/>
                <w:spacing w:val="-2"/>
                <w:rtl/>
              </w:rPr>
              <w:t>2014</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b/>
                <w:bCs/>
                <w:spacing w:val="-2"/>
                <w:rtl/>
              </w:rPr>
              <w:t>201</w:t>
            </w:r>
            <w:r w:rsidRPr="00BD1EDC">
              <w:rPr>
                <w:rFonts w:hint="cs"/>
                <w:b/>
                <w:bCs/>
                <w:spacing w:val="-2"/>
                <w:rtl/>
              </w:rPr>
              <w:t>5</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rFonts w:hint="cs"/>
                <w:b/>
                <w:bCs/>
                <w:spacing w:val="-2"/>
                <w:rtl/>
              </w:rPr>
              <w:t>2016</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rFonts w:hint="cs"/>
                <w:b/>
                <w:bCs/>
                <w:spacing w:val="-2"/>
                <w:rtl/>
              </w:rPr>
              <w:t>2017</w:t>
            </w:r>
          </w:p>
        </w:tc>
        <w:tc>
          <w:tcPr>
            <w:tcW w:w="905" w:type="dxa"/>
            <w:tcBorders>
              <w:top w:val="double" w:sz="6" w:space="0" w:color="auto"/>
              <w:left w:val="single" w:sz="4" w:space="0" w:color="auto"/>
              <w:bottom w:val="single" w:sz="4" w:space="0" w:color="auto"/>
              <w:right w:val="single" w:sz="4" w:space="0" w:color="auto"/>
            </w:tcBorders>
            <w:vAlign w:val="center"/>
          </w:tcPr>
          <w:p w:rsidR="002E238E" w:rsidRPr="00BD1EDC" w:rsidRDefault="002E238E" w:rsidP="002E238E">
            <w:pPr>
              <w:jc w:val="center"/>
              <w:rPr>
                <w:b/>
                <w:bCs/>
                <w:spacing w:val="-2"/>
                <w:rtl/>
              </w:rPr>
            </w:pPr>
            <w:r w:rsidRPr="00BD1EDC">
              <w:rPr>
                <w:rFonts w:hint="cs"/>
                <w:b/>
                <w:bCs/>
                <w:spacing w:val="-2"/>
                <w:rtl/>
              </w:rPr>
              <w:t>2018</w:t>
            </w:r>
          </w:p>
        </w:tc>
      </w:tr>
      <w:tr w:rsidR="00BD1EDC" w:rsidRPr="00BD1EDC" w:rsidTr="002E238E">
        <w:trPr>
          <w:trHeight w:val="255"/>
          <w:jc w:val="center"/>
        </w:trPr>
        <w:tc>
          <w:tcPr>
            <w:tcW w:w="2364" w:type="dxa"/>
            <w:tcBorders>
              <w:top w:val="single" w:sz="4" w:space="0" w:color="auto"/>
              <w:left w:val="single" w:sz="4" w:space="0" w:color="auto"/>
              <w:bottom w:val="single" w:sz="4" w:space="0" w:color="auto"/>
              <w:right w:val="single" w:sz="4" w:space="0" w:color="auto"/>
            </w:tcBorders>
            <w:noWrap/>
          </w:tcPr>
          <w:p w:rsidR="002E238E" w:rsidRPr="00BD1EDC" w:rsidRDefault="002E238E" w:rsidP="002E238E">
            <w:pPr>
              <w:rPr>
                <w:b/>
                <w:bCs/>
                <w:spacing w:val="-2"/>
              </w:rPr>
            </w:pPr>
            <w:r w:rsidRPr="00BD1EDC">
              <w:rPr>
                <w:b/>
                <w:bCs/>
                <w:spacing w:val="-2"/>
                <w:rtl/>
              </w:rPr>
              <w:t>חברת החשמל</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93.1</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84.4</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78.8</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72.4</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72.2</w:t>
            </w:r>
          </w:p>
        </w:tc>
        <w:tc>
          <w:tcPr>
            <w:tcW w:w="905" w:type="dxa"/>
            <w:tcBorders>
              <w:top w:val="single" w:sz="4" w:space="0" w:color="auto"/>
              <w:left w:val="single" w:sz="4" w:space="0" w:color="auto"/>
              <w:bottom w:val="single" w:sz="4" w:space="0" w:color="auto"/>
              <w:right w:val="single" w:sz="4" w:space="0" w:color="auto"/>
            </w:tcBorders>
            <w:vAlign w:val="center"/>
          </w:tcPr>
          <w:p w:rsidR="002E238E" w:rsidRPr="00BD1EDC" w:rsidRDefault="002E238E" w:rsidP="00AF649F">
            <w:pPr>
              <w:jc w:val="center"/>
            </w:pPr>
            <w:r w:rsidRPr="00BD1EDC">
              <w:t>69.4</w:t>
            </w:r>
          </w:p>
        </w:tc>
      </w:tr>
      <w:tr w:rsidR="00BD1EDC" w:rsidRPr="00BD1EDC" w:rsidTr="003F6CB7">
        <w:trPr>
          <w:trHeight w:val="255"/>
          <w:jc w:val="center"/>
        </w:trPr>
        <w:tc>
          <w:tcPr>
            <w:tcW w:w="2364" w:type="dxa"/>
            <w:tcBorders>
              <w:top w:val="single" w:sz="4" w:space="0" w:color="auto"/>
              <w:left w:val="single" w:sz="4" w:space="0" w:color="auto"/>
              <w:bottom w:val="double" w:sz="4" w:space="0" w:color="auto"/>
              <w:right w:val="single" w:sz="4" w:space="0" w:color="auto"/>
            </w:tcBorders>
            <w:noWrap/>
          </w:tcPr>
          <w:p w:rsidR="002E238E" w:rsidRPr="00BD1EDC" w:rsidRDefault="002E238E" w:rsidP="002E238E">
            <w:pPr>
              <w:rPr>
                <w:b/>
                <w:bCs/>
                <w:spacing w:val="-2"/>
              </w:rPr>
            </w:pPr>
            <w:r w:rsidRPr="00BD1EDC">
              <w:rPr>
                <w:b/>
                <w:bCs/>
                <w:spacing w:val="-2"/>
                <w:rtl/>
              </w:rPr>
              <w:t>יצרני חשמל פרטיים</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pPr>
            <w:r w:rsidRPr="00BD1EDC">
              <w:t>6.9</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pPr>
            <w:r w:rsidRPr="00BD1EDC">
              <w:t>15.6</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pPr>
            <w:r w:rsidRPr="00BD1EDC">
              <w:t>21.2</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pPr>
            <w:r w:rsidRPr="00BD1EDC">
              <w:t>27.6</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pPr>
            <w:r w:rsidRPr="00BD1EDC">
              <w:t>27.8</w:t>
            </w:r>
          </w:p>
        </w:tc>
        <w:tc>
          <w:tcPr>
            <w:tcW w:w="905" w:type="dxa"/>
            <w:tcBorders>
              <w:top w:val="single" w:sz="4" w:space="0" w:color="auto"/>
              <w:left w:val="single" w:sz="4" w:space="0" w:color="auto"/>
              <w:bottom w:val="double" w:sz="4" w:space="0" w:color="auto"/>
              <w:right w:val="single" w:sz="4" w:space="0" w:color="auto"/>
            </w:tcBorders>
            <w:vAlign w:val="center"/>
          </w:tcPr>
          <w:p w:rsidR="002E238E" w:rsidRPr="00BD1EDC" w:rsidRDefault="002E238E" w:rsidP="00AF649F">
            <w:pPr>
              <w:jc w:val="center"/>
              <w:rPr>
                <w:rtl/>
              </w:rPr>
            </w:pPr>
            <w:r w:rsidRPr="00BD1EDC">
              <w:t>30.6</w:t>
            </w:r>
          </w:p>
        </w:tc>
      </w:tr>
    </w:tbl>
    <w:p w:rsidR="00D46347" w:rsidRPr="00BD1EDC" w:rsidRDefault="00D46347" w:rsidP="00703DE4">
      <w:pPr>
        <w:pStyle w:val="3"/>
        <w:rPr>
          <w:rtl/>
        </w:rPr>
      </w:pPr>
      <w:r w:rsidRPr="00BD1EDC">
        <w:rPr>
          <w:rtl/>
        </w:rPr>
        <w:t xml:space="preserve">תמהיל </w:t>
      </w:r>
      <w:proofErr w:type="spellStart"/>
      <w:r w:rsidRPr="00BD1EDC">
        <w:rPr>
          <w:rtl/>
        </w:rPr>
        <w:t>הדלקים</w:t>
      </w:r>
      <w:proofErr w:type="spellEnd"/>
      <w:r w:rsidRPr="00BD1EDC">
        <w:rPr>
          <w:rtl/>
        </w:rPr>
        <w:t xml:space="preserve"> לי</w:t>
      </w:r>
      <w:r w:rsidR="005C65D2" w:rsidRPr="00BD1EDC">
        <w:rPr>
          <w:rFonts w:hint="cs"/>
          <w:rtl/>
        </w:rPr>
        <w:t>י</w:t>
      </w:r>
      <w:r w:rsidRPr="00BD1EDC">
        <w:rPr>
          <w:rtl/>
        </w:rPr>
        <w:t>צור חשמל</w:t>
      </w:r>
    </w:p>
    <w:p w:rsidR="00DC1CD4" w:rsidRPr="00BD1EDC" w:rsidRDefault="00DC1CD4" w:rsidP="00DC1CD4">
      <w:pPr>
        <w:rPr>
          <w:rtl/>
        </w:rPr>
      </w:pPr>
      <w:r w:rsidRPr="00BD1EDC">
        <w:rPr>
          <w:rtl/>
        </w:rPr>
        <w:t xml:space="preserve">בשנים האחרונות גובר השימוש בגז הטבעי לייצור חשמל. במקביל, חלה ירידה הדרגתית בשימוש בפחם </w:t>
      </w:r>
      <w:proofErr w:type="spellStart"/>
      <w:r w:rsidRPr="00BD1EDC">
        <w:rPr>
          <w:rtl/>
        </w:rPr>
        <w:t>ובדלקים</w:t>
      </w:r>
      <w:proofErr w:type="spellEnd"/>
      <w:r w:rsidRPr="00BD1EDC">
        <w:rPr>
          <w:rtl/>
        </w:rPr>
        <w:t xml:space="preserve"> אחרים המשמשים לי</w:t>
      </w:r>
      <w:r w:rsidR="00274C2C">
        <w:rPr>
          <w:rFonts w:hint="cs"/>
          <w:rtl/>
        </w:rPr>
        <w:t>י</w:t>
      </w:r>
      <w:r w:rsidR="00274C2C">
        <w:rPr>
          <w:rtl/>
        </w:rPr>
        <w:t>צור חשמל</w:t>
      </w:r>
      <w:r w:rsidR="00274C2C">
        <w:rPr>
          <w:rFonts w:hint="cs"/>
          <w:rtl/>
        </w:rPr>
        <w:t xml:space="preserve"> –</w:t>
      </w:r>
      <w:r w:rsidRPr="00BD1EDC">
        <w:rPr>
          <w:rtl/>
        </w:rPr>
        <w:t xml:space="preserve"> מזוט וסולר.</w:t>
      </w:r>
    </w:p>
    <w:p w:rsidR="00DC1CD4" w:rsidRPr="00BD1EDC" w:rsidRDefault="00DC1CD4" w:rsidP="00DC1CD4">
      <w:pPr>
        <w:pStyle w:val="af7"/>
        <w:numPr>
          <w:ilvl w:val="0"/>
          <w:numId w:val="37"/>
        </w:numPr>
        <w:rPr>
          <w:rtl/>
        </w:rPr>
      </w:pPr>
      <w:r w:rsidRPr="00BD1EDC">
        <w:rPr>
          <w:b/>
          <w:bCs/>
          <w:rtl/>
        </w:rPr>
        <w:t>גז טבעי</w:t>
      </w:r>
      <w:r w:rsidRPr="00BD1EDC">
        <w:rPr>
          <w:rtl/>
        </w:rPr>
        <w:t xml:space="preserve"> - בשנת 2018 עלתה כמות השימוש בגז הטבעי ליצור חשמל ל-7,978 אלפי </w:t>
      </w:r>
      <w:proofErr w:type="spellStart"/>
      <w:r w:rsidRPr="00BD1EDC">
        <w:rPr>
          <w:rtl/>
        </w:rPr>
        <w:t>שעט"ן</w:t>
      </w:r>
      <w:proofErr w:type="spellEnd"/>
      <w:r w:rsidRPr="00BD1EDC">
        <w:rPr>
          <w:rtl/>
        </w:rPr>
        <w:t>, עלייה של 11.2% לעומת 2017</w:t>
      </w:r>
    </w:p>
    <w:p w:rsidR="00DC1CD4" w:rsidRPr="00BD1EDC" w:rsidRDefault="00DC1CD4" w:rsidP="00DC1CD4">
      <w:pPr>
        <w:pStyle w:val="af7"/>
        <w:numPr>
          <w:ilvl w:val="0"/>
          <w:numId w:val="37"/>
        </w:numPr>
        <w:rPr>
          <w:rtl/>
        </w:rPr>
      </w:pPr>
      <w:r w:rsidRPr="00BD1EDC">
        <w:rPr>
          <w:b/>
          <w:bCs/>
          <w:rtl/>
        </w:rPr>
        <w:t>פחם</w:t>
      </w:r>
      <w:r w:rsidRPr="00BD1EDC">
        <w:rPr>
          <w:rtl/>
        </w:rPr>
        <w:t xml:space="preserve"> - בשנת 2018 הסתכם השימוש בפחם ב-4,667 אלפי </w:t>
      </w:r>
      <w:proofErr w:type="spellStart"/>
      <w:r w:rsidRPr="00BD1EDC">
        <w:rPr>
          <w:rtl/>
        </w:rPr>
        <w:t>שעט"ן</w:t>
      </w:r>
      <w:proofErr w:type="spellEnd"/>
      <w:r w:rsidRPr="00BD1EDC">
        <w:rPr>
          <w:rtl/>
        </w:rPr>
        <w:t xml:space="preserve">, ירידה של 5.6% לעומת 2017. </w:t>
      </w:r>
    </w:p>
    <w:p w:rsidR="00703DE4" w:rsidRPr="00703DE4" w:rsidRDefault="00DC1CD4" w:rsidP="00274C2C">
      <w:pPr>
        <w:pStyle w:val="af7"/>
        <w:numPr>
          <w:ilvl w:val="0"/>
          <w:numId w:val="37"/>
        </w:numPr>
        <w:rPr>
          <w:rStyle w:val="afa"/>
          <w:rFonts w:cs="Arial"/>
          <w:bCs w:val="0"/>
        </w:rPr>
      </w:pPr>
      <w:r w:rsidRPr="00BD1EDC">
        <w:rPr>
          <w:b/>
          <w:bCs/>
          <w:rtl/>
        </w:rPr>
        <w:t>מזוט וסולר</w:t>
      </w:r>
      <w:r w:rsidRPr="00BD1EDC">
        <w:rPr>
          <w:rtl/>
        </w:rPr>
        <w:t xml:space="preserve"> - בשנת 2018 הייתה צריכת ה</w:t>
      </w:r>
      <w:r w:rsidR="00274C2C">
        <w:rPr>
          <w:rtl/>
        </w:rPr>
        <w:t>מזוט והסולר זניחה ועמדה על 23 ו</w:t>
      </w:r>
      <w:r w:rsidRPr="00BD1EDC">
        <w:rPr>
          <w:rtl/>
        </w:rPr>
        <w:t xml:space="preserve">-64 אלפי </w:t>
      </w:r>
      <w:proofErr w:type="spellStart"/>
      <w:r w:rsidRPr="00BD1EDC">
        <w:rPr>
          <w:rtl/>
        </w:rPr>
        <w:t>שעט"ן</w:t>
      </w:r>
      <w:proofErr w:type="spellEnd"/>
      <w:r w:rsidRPr="00BD1EDC">
        <w:rPr>
          <w:rtl/>
        </w:rPr>
        <w:t xml:space="preserve"> (בהתאמה)</w:t>
      </w:r>
      <w:r w:rsidR="00274C2C">
        <w:rPr>
          <w:rFonts w:hint="cs"/>
          <w:rtl/>
        </w:rPr>
        <w:t xml:space="preserve"> שהם</w:t>
      </w:r>
      <w:r w:rsidRPr="00BD1EDC">
        <w:rPr>
          <w:rtl/>
        </w:rPr>
        <w:t xml:space="preserve"> 0.7% מסך צריכת </w:t>
      </w:r>
      <w:proofErr w:type="spellStart"/>
      <w:r w:rsidRPr="00BD1EDC">
        <w:rPr>
          <w:rtl/>
        </w:rPr>
        <w:t>הדלקים</w:t>
      </w:r>
      <w:proofErr w:type="spellEnd"/>
      <w:r w:rsidRPr="00BD1EDC">
        <w:rPr>
          <w:rtl/>
        </w:rPr>
        <w:t xml:space="preserve"> לייצור חשמל</w:t>
      </w:r>
    </w:p>
    <w:p w:rsidR="008502F5" w:rsidRPr="00703DE4" w:rsidRDefault="00703DE4" w:rsidP="00703DE4">
      <w:pPr>
        <w:spacing w:before="240"/>
        <w:ind w:left="400"/>
        <w:jc w:val="center"/>
      </w:pPr>
      <w:r w:rsidRPr="00703DE4">
        <w:rPr>
          <w:rStyle w:val="afa"/>
          <w:rtl/>
        </w:rPr>
        <w:t xml:space="preserve">תרשים </w:t>
      </w:r>
      <w:r w:rsidRPr="00703DE4">
        <w:rPr>
          <w:rStyle w:val="afa"/>
          <w:b/>
          <w:bCs w:val="0"/>
        </w:rPr>
        <w:t>6</w:t>
      </w:r>
      <w:r w:rsidRPr="00703DE4">
        <w:rPr>
          <w:rStyle w:val="afa"/>
          <w:rFonts w:hint="cs"/>
          <w:rtl/>
        </w:rPr>
        <w:t xml:space="preserve"> -</w:t>
      </w:r>
      <w:r w:rsidRPr="00703DE4">
        <w:rPr>
          <w:rStyle w:val="afa"/>
          <w:rtl/>
        </w:rPr>
        <w:t xml:space="preserve"> תמהיל </w:t>
      </w:r>
      <w:proofErr w:type="spellStart"/>
      <w:r w:rsidRPr="00703DE4">
        <w:rPr>
          <w:rStyle w:val="afa"/>
          <w:rtl/>
        </w:rPr>
        <w:t>הדלקים</w:t>
      </w:r>
      <w:proofErr w:type="spellEnd"/>
      <w:r w:rsidRPr="00703DE4">
        <w:rPr>
          <w:rStyle w:val="afa"/>
          <w:rtl/>
        </w:rPr>
        <w:t xml:space="preserve"> ל</w:t>
      </w:r>
      <w:r w:rsidRPr="00703DE4">
        <w:rPr>
          <w:rStyle w:val="afa"/>
          <w:rFonts w:hint="cs"/>
          <w:rtl/>
        </w:rPr>
        <w:t>י</w:t>
      </w:r>
      <w:r w:rsidRPr="00703DE4">
        <w:rPr>
          <w:rStyle w:val="afa"/>
          <w:rtl/>
        </w:rPr>
        <w:t xml:space="preserve">יצור חשמל (אלפי </w:t>
      </w:r>
      <w:proofErr w:type="spellStart"/>
      <w:r w:rsidRPr="00703DE4">
        <w:rPr>
          <w:rStyle w:val="afa"/>
          <w:rtl/>
        </w:rPr>
        <w:t>שעט"ן</w:t>
      </w:r>
      <w:proofErr w:type="spellEnd"/>
      <w:r w:rsidRPr="00703DE4">
        <w:rPr>
          <w:rStyle w:val="afa"/>
          <w:rtl/>
        </w:rPr>
        <w:t>)</w:t>
      </w:r>
    </w:p>
    <w:p w:rsidR="00E0067F" w:rsidRPr="00BD1EDC" w:rsidRDefault="00E0067F" w:rsidP="00703DE4">
      <w:pPr>
        <w:pStyle w:val="aa"/>
        <w:spacing w:before="240"/>
        <w:rPr>
          <w:rtl/>
        </w:rPr>
      </w:pPr>
      <w:r w:rsidRPr="00BD1EDC">
        <w:rPr>
          <w:noProof/>
        </w:rPr>
        <w:drawing>
          <wp:inline distT="0" distB="0" distL="0" distR="0" wp14:anchorId="10210E7D" wp14:editId="5F358004">
            <wp:extent cx="6096000" cy="3585845"/>
            <wp:effectExtent l="0" t="0" r="0" b="0"/>
            <wp:docPr id="4" name="Picture 4" descr="תרשים 6 - תמהיל הדלקים לייצור חשמל (אלפי שעט&quot;ן)" title="תרשים 6 - תמהיל הדלקים לייצור חשמל (אלפי שעט&quot;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585845"/>
                    </a:xfrm>
                    <a:prstGeom prst="rect">
                      <a:avLst/>
                    </a:prstGeom>
                    <a:noFill/>
                  </pic:spPr>
                </pic:pic>
              </a:graphicData>
            </a:graphic>
          </wp:inline>
        </w:drawing>
      </w:r>
    </w:p>
    <w:p w:rsidR="00337559" w:rsidRDefault="00337559">
      <w:pPr>
        <w:bidi w:val="0"/>
        <w:spacing w:line="240" w:lineRule="auto"/>
        <w:ind w:left="0" w:right="0"/>
        <w:rPr>
          <w:bCs/>
          <w:szCs w:val="26"/>
        </w:rPr>
      </w:pPr>
      <w:r>
        <w:rPr>
          <w:rtl/>
        </w:rPr>
        <w:br w:type="page"/>
      </w:r>
    </w:p>
    <w:p w:rsidR="008E746D" w:rsidRPr="00BD1EDC" w:rsidRDefault="008E746D" w:rsidP="00703DE4">
      <w:pPr>
        <w:pStyle w:val="3"/>
        <w:rPr>
          <w:rtl/>
        </w:rPr>
      </w:pPr>
      <w:r w:rsidRPr="00BD1EDC">
        <w:rPr>
          <w:rFonts w:hint="cs"/>
          <w:rtl/>
        </w:rPr>
        <w:lastRenderedPageBreak/>
        <w:t>התייעלות בייצור החשמל</w:t>
      </w:r>
    </w:p>
    <w:p w:rsidR="00E904C9" w:rsidRDefault="006F00B3" w:rsidP="0084651B">
      <w:pPr>
        <w:rPr>
          <w:rtl/>
        </w:rPr>
      </w:pPr>
      <w:r w:rsidRPr="00BD1EDC">
        <w:rPr>
          <w:rtl/>
        </w:rPr>
        <w:t xml:space="preserve">בין השנים 2017 ל-2018 כמות </w:t>
      </w:r>
      <w:proofErr w:type="spellStart"/>
      <w:r w:rsidRPr="00BD1EDC">
        <w:rPr>
          <w:rtl/>
        </w:rPr>
        <w:t>הדלקים</w:t>
      </w:r>
      <w:proofErr w:type="spellEnd"/>
      <w:r w:rsidRPr="00BD1EDC">
        <w:rPr>
          <w:rtl/>
        </w:rPr>
        <w:t xml:space="preserve"> ששימשו לייצור חשמל עלתה ב-3.5%, וייצור החשמל משרפת דלקים עלה ב-2.0%. חישוב היחס בין האנרגיה המופקת (חשמל) לאנרגיה הנצרכת (שרפת דלקים) מלמד על יעילות ההתמרה. ככל שיחס זה גבוה יותר היעילות גבוהה יותר. בשנת 2018 יחס ההתמרה בייצור חשמל </w:t>
      </w:r>
      <w:r w:rsidR="00B07A53">
        <w:rPr>
          <w:rFonts w:hint="cs"/>
          <w:rtl/>
        </w:rPr>
        <w:t>על ידי</w:t>
      </w:r>
      <w:r w:rsidRPr="00BD1EDC">
        <w:rPr>
          <w:rtl/>
        </w:rPr>
        <w:t xml:space="preserve"> פחם עמד על 38.0% לעומת 49.6% בגז הטבעי. </w:t>
      </w:r>
    </w:p>
    <w:p w:rsidR="009B0860" w:rsidRDefault="006F00B3" w:rsidP="00751A6B">
      <w:pPr>
        <w:rPr>
          <w:rtl/>
        </w:rPr>
      </w:pPr>
      <w:r w:rsidRPr="00BD1EDC">
        <w:rPr>
          <w:rtl/>
        </w:rPr>
        <w:t xml:space="preserve">בשנים 2017-2013 יחס ההתמרה בייצור חשמל של כלל </w:t>
      </w:r>
      <w:r w:rsidR="00E0067F" w:rsidRPr="00BD1EDC">
        <w:rPr>
          <w:rtl/>
        </w:rPr>
        <w:t>המקורות במשק עמד בממוצע על כ-</w:t>
      </w:r>
      <w:r w:rsidR="00E0067F" w:rsidRPr="00BD1EDC">
        <w:rPr>
          <w:rFonts w:hint="cs"/>
          <w:rtl/>
        </w:rPr>
        <w:t>44.</w:t>
      </w:r>
      <w:r w:rsidR="00751A6B">
        <w:rPr>
          <w:rFonts w:hint="cs"/>
          <w:rtl/>
        </w:rPr>
        <w:t>5</w:t>
      </w:r>
      <w:r w:rsidR="00E0067F" w:rsidRPr="00BD1EDC">
        <w:rPr>
          <w:rFonts w:hint="cs"/>
          <w:rtl/>
        </w:rPr>
        <w:t>%</w:t>
      </w:r>
      <w:r w:rsidRPr="00BD1EDC">
        <w:rPr>
          <w:rtl/>
        </w:rPr>
        <w:t xml:space="preserve"> לעומת 36% בשנים 2012-2010, בעקבות המעבר משימוש בפחם, סולר ומזוט לגז טבעי.</w:t>
      </w:r>
    </w:p>
    <w:p w:rsidR="00E904C9" w:rsidRPr="00BD1EDC" w:rsidRDefault="00E904C9" w:rsidP="00B07A53">
      <w:pPr>
        <w:rPr>
          <w:rtl/>
        </w:rPr>
      </w:pPr>
      <w:r w:rsidRPr="007D1C1E">
        <w:rPr>
          <w:rFonts w:hint="cs"/>
          <w:rtl/>
        </w:rPr>
        <w:t>מ</w:t>
      </w:r>
      <w:r w:rsidR="00B07A53">
        <w:rPr>
          <w:rFonts w:hint="cs"/>
          <w:rtl/>
        </w:rPr>
        <w:t>שנת 2010 חל</w:t>
      </w:r>
      <w:r w:rsidRPr="007D1C1E">
        <w:rPr>
          <w:rFonts w:hint="cs"/>
          <w:rtl/>
        </w:rPr>
        <w:t xml:space="preserve">ה מגמה </w:t>
      </w:r>
      <w:r w:rsidR="006976FC" w:rsidRPr="007D1C1E">
        <w:rPr>
          <w:rFonts w:hint="cs"/>
          <w:rtl/>
        </w:rPr>
        <w:t xml:space="preserve">מתמשכת </w:t>
      </w:r>
      <w:r w:rsidRPr="007D1C1E">
        <w:rPr>
          <w:rFonts w:hint="cs"/>
          <w:rtl/>
        </w:rPr>
        <w:t>של עלייה בנצילות ההתמרה</w:t>
      </w:r>
      <w:r w:rsidR="006976FC" w:rsidRPr="007D1C1E">
        <w:rPr>
          <w:rFonts w:hint="cs"/>
          <w:rtl/>
        </w:rPr>
        <w:t>, אולם בין השנים 2017 ל</w:t>
      </w:r>
      <w:r w:rsidR="00B07A53">
        <w:rPr>
          <w:rFonts w:hint="cs"/>
          <w:rtl/>
        </w:rPr>
        <w:t>-</w:t>
      </w:r>
      <w:r w:rsidR="006976FC" w:rsidRPr="007D1C1E">
        <w:rPr>
          <w:rFonts w:hint="cs"/>
          <w:rtl/>
        </w:rPr>
        <w:t>2018 הנצילות ירדה ב</w:t>
      </w:r>
      <w:r w:rsidR="00B07A53">
        <w:rPr>
          <w:rFonts w:hint="cs"/>
          <w:rtl/>
        </w:rPr>
        <w:t>-</w:t>
      </w:r>
      <w:r w:rsidR="006976FC" w:rsidRPr="007D1C1E">
        <w:rPr>
          <w:rFonts w:hint="cs"/>
          <w:rtl/>
        </w:rPr>
        <w:t>1.4%.</w:t>
      </w:r>
    </w:p>
    <w:p w:rsidR="008E746D" w:rsidRPr="00BD1EDC" w:rsidRDefault="008E746D" w:rsidP="00337559">
      <w:pPr>
        <w:pStyle w:val="aa"/>
        <w:spacing w:before="240"/>
        <w:rPr>
          <w:rStyle w:val="afa"/>
          <w:rFonts w:cs="Arial"/>
          <w:bCs/>
          <w:rtl/>
        </w:rPr>
      </w:pPr>
      <w:r w:rsidRPr="00BD1EDC">
        <w:rPr>
          <w:rStyle w:val="afa"/>
          <w:rFonts w:cs="Arial"/>
          <w:bCs/>
          <w:rtl/>
        </w:rPr>
        <w:t xml:space="preserve">לוח </w:t>
      </w:r>
      <w:r w:rsidR="00FB6EBB" w:rsidRPr="00BD1EDC">
        <w:rPr>
          <w:rStyle w:val="afa"/>
          <w:rFonts w:cs="Arial" w:hint="cs"/>
          <w:bCs/>
          <w:rtl/>
        </w:rPr>
        <w:t>ז</w:t>
      </w:r>
      <w:r w:rsidRPr="00BD1EDC">
        <w:rPr>
          <w:rStyle w:val="afa"/>
          <w:rFonts w:cs="Arial" w:hint="cs"/>
          <w:bCs/>
          <w:rtl/>
        </w:rPr>
        <w:t xml:space="preserve"> -</w:t>
      </w:r>
      <w:r w:rsidRPr="00BD1EDC">
        <w:rPr>
          <w:rStyle w:val="afa"/>
          <w:rFonts w:cs="Arial"/>
          <w:bCs/>
          <w:rtl/>
        </w:rPr>
        <w:t xml:space="preserve"> </w:t>
      </w:r>
      <w:r w:rsidRPr="00BD1EDC">
        <w:rPr>
          <w:rStyle w:val="afa"/>
          <w:rFonts w:cs="Arial" w:hint="cs"/>
          <w:bCs/>
          <w:rtl/>
        </w:rPr>
        <w:t>התייעלו</w:t>
      </w:r>
      <w:r w:rsidRPr="00BD1EDC">
        <w:rPr>
          <w:rStyle w:val="afa"/>
          <w:rFonts w:cs="Arial" w:hint="eastAsia"/>
          <w:bCs/>
          <w:rtl/>
        </w:rPr>
        <w:t>ת</w:t>
      </w:r>
      <w:r w:rsidRPr="00BD1EDC">
        <w:rPr>
          <w:rStyle w:val="afa"/>
          <w:rFonts w:cs="Arial" w:hint="cs"/>
          <w:bCs/>
          <w:rtl/>
        </w:rPr>
        <w:t xml:space="preserve"> בייצור חשמל</w:t>
      </w:r>
      <w:r w:rsidRPr="00BD1EDC">
        <w:rPr>
          <w:rStyle w:val="afa"/>
          <w:rFonts w:cs="Arial"/>
          <w:bCs/>
          <w:rtl/>
        </w:rPr>
        <w:t xml:space="preserve"> (</w:t>
      </w:r>
      <w:r w:rsidRPr="00BD1EDC">
        <w:rPr>
          <w:rStyle w:val="afa"/>
          <w:rFonts w:cs="Arial" w:hint="cs"/>
          <w:bCs/>
          <w:rtl/>
        </w:rPr>
        <w:t xml:space="preserve">אלפי </w:t>
      </w:r>
      <w:proofErr w:type="spellStart"/>
      <w:r w:rsidRPr="00BD1EDC">
        <w:rPr>
          <w:rStyle w:val="afa"/>
          <w:rFonts w:cs="Arial" w:hint="cs"/>
          <w:bCs/>
          <w:rtl/>
        </w:rPr>
        <w:t>שעט"ן</w:t>
      </w:r>
      <w:proofErr w:type="spellEnd"/>
      <w:r w:rsidRPr="00BD1EDC">
        <w:rPr>
          <w:rStyle w:val="afa"/>
          <w:rFonts w:cs="Arial"/>
          <w:bCs/>
          <w:rtl/>
        </w:rPr>
        <w:t>)</w:t>
      </w:r>
    </w:p>
    <w:tbl>
      <w:tblPr>
        <w:tblpPr w:leftFromText="180" w:rightFromText="180" w:vertAnchor="text" w:tblpXSpec="center" w:tblpY="1"/>
        <w:tblOverlap w:val="never"/>
        <w:bidiVisual/>
        <w:tblW w:w="5127" w:type="pct"/>
        <w:tblInd w:w="-25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Caption w:val="לוח ו - התייעלות בייצור חשמל (אלפי שעט&quot;ן)"/>
        <w:tblDescription w:val="טבלה המתארת את כמות ייצור החשמל משרפת דלקים, את צריכת הדלקים ואת שיעורם מסך היצור עבור השנים 2010-2016"/>
      </w:tblPr>
      <w:tblGrid>
        <w:gridCol w:w="1565"/>
        <w:gridCol w:w="866"/>
        <w:gridCol w:w="866"/>
        <w:gridCol w:w="866"/>
        <w:gridCol w:w="866"/>
        <w:gridCol w:w="866"/>
        <w:gridCol w:w="866"/>
        <w:gridCol w:w="865"/>
        <w:gridCol w:w="865"/>
        <w:gridCol w:w="865"/>
        <w:gridCol w:w="991"/>
      </w:tblGrid>
      <w:tr w:rsidR="004940F5" w:rsidRPr="00BD1EDC" w:rsidTr="004940F5">
        <w:trPr>
          <w:trHeight w:val="261"/>
          <w:tblHeader/>
        </w:trPr>
        <w:tc>
          <w:tcPr>
            <w:tcW w:w="756" w:type="pct"/>
            <w:tcBorders>
              <w:top w:val="double" w:sz="6" w:space="0" w:color="auto"/>
              <w:left w:val="single" w:sz="4" w:space="0" w:color="auto"/>
              <w:bottom w:val="single" w:sz="4" w:space="0" w:color="auto"/>
              <w:right w:val="single" w:sz="4" w:space="0" w:color="auto"/>
            </w:tcBorders>
            <w:noWrap/>
            <w:vAlign w:val="center"/>
          </w:tcPr>
          <w:p w:rsidR="006F00B3" w:rsidRPr="00703DE4" w:rsidRDefault="006F00B3" w:rsidP="006F00B3">
            <w:pPr>
              <w:pStyle w:val="a0"/>
              <w:jc w:val="left"/>
              <w:rPr>
                <w:sz w:val="24"/>
              </w:rPr>
            </w:pPr>
            <w:r w:rsidRPr="00703DE4">
              <w:rPr>
                <w:rFonts w:hint="cs"/>
                <w:sz w:val="24"/>
                <w:rtl/>
              </w:rPr>
              <w:t>ייצור חשמל</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2010</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2011</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2012</w:t>
            </w:r>
          </w:p>
        </w:tc>
        <w:tc>
          <w:tcPr>
            <w:tcW w:w="418" w:type="pct"/>
            <w:tcBorders>
              <w:top w:val="double" w:sz="6" w:space="0" w:color="auto"/>
              <w:left w:val="single" w:sz="4" w:space="0" w:color="auto"/>
              <w:bottom w:val="single" w:sz="4" w:space="0" w:color="auto"/>
              <w:right w:val="nil"/>
            </w:tcBorders>
            <w:vAlign w:val="center"/>
          </w:tcPr>
          <w:p w:rsidR="006F00B3" w:rsidRPr="00703DE4" w:rsidRDefault="006F00B3" w:rsidP="006F00B3">
            <w:pPr>
              <w:spacing w:line="240" w:lineRule="auto"/>
              <w:ind w:left="0" w:right="0"/>
              <w:jc w:val="center"/>
              <w:rPr>
                <w:b/>
                <w:bCs/>
                <w:rtl/>
                <w:lang w:eastAsia="he-IL"/>
              </w:rPr>
            </w:pPr>
            <w:r w:rsidRPr="00703DE4">
              <w:rPr>
                <w:b/>
                <w:bCs/>
                <w:rtl/>
                <w:lang w:eastAsia="he-IL"/>
              </w:rPr>
              <w:t>201</w:t>
            </w:r>
            <w:r w:rsidRPr="00703DE4">
              <w:rPr>
                <w:rFonts w:hint="cs"/>
                <w:b/>
                <w:bCs/>
                <w:rtl/>
                <w:lang w:eastAsia="he-IL"/>
              </w:rPr>
              <w:t>3</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b/>
                <w:bCs/>
                <w:rtl/>
                <w:lang w:eastAsia="he-IL"/>
              </w:rPr>
              <w:t>201</w:t>
            </w:r>
            <w:r w:rsidRPr="00703DE4">
              <w:rPr>
                <w:rFonts w:hint="cs"/>
                <w:b/>
                <w:bCs/>
                <w:rtl/>
                <w:lang w:eastAsia="he-IL"/>
              </w:rPr>
              <w:t>4</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2015</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2016</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rFonts w:hint="cs"/>
                <w:b/>
                <w:bCs/>
                <w:rtl/>
                <w:lang w:eastAsia="he-IL"/>
              </w:rPr>
              <w:t>2017</w:t>
            </w:r>
          </w:p>
        </w:tc>
        <w:tc>
          <w:tcPr>
            <w:tcW w:w="418"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164172">
            <w:pPr>
              <w:spacing w:line="240" w:lineRule="auto"/>
              <w:ind w:left="0" w:right="0"/>
              <w:jc w:val="center"/>
              <w:rPr>
                <w:b/>
                <w:bCs/>
                <w:rtl/>
                <w:lang w:eastAsia="he-IL"/>
              </w:rPr>
            </w:pPr>
            <w:r w:rsidRPr="00703DE4">
              <w:rPr>
                <w:rFonts w:hint="cs"/>
                <w:b/>
                <w:bCs/>
                <w:rtl/>
                <w:lang w:eastAsia="he-IL"/>
              </w:rPr>
              <w:t>2018</w:t>
            </w:r>
          </w:p>
        </w:tc>
        <w:tc>
          <w:tcPr>
            <w:tcW w:w="479" w:type="pct"/>
            <w:tcBorders>
              <w:top w:val="double" w:sz="6"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b/>
                <w:bCs/>
                <w:rtl/>
                <w:lang w:eastAsia="he-IL"/>
              </w:rPr>
            </w:pPr>
            <w:r w:rsidRPr="00703DE4">
              <w:rPr>
                <w:b/>
                <w:bCs/>
                <w:rtl/>
                <w:lang w:eastAsia="he-IL"/>
              </w:rPr>
              <w:t>אחוז שינוי</w:t>
            </w:r>
          </w:p>
          <w:p w:rsidR="006F00B3" w:rsidRPr="00703DE4" w:rsidRDefault="006F00B3" w:rsidP="006F00B3">
            <w:pPr>
              <w:spacing w:line="240" w:lineRule="auto"/>
              <w:ind w:left="0" w:right="0"/>
              <w:jc w:val="center"/>
              <w:rPr>
                <w:b/>
                <w:bCs/>
                <w:rtl/>
                <w:lang w:eastAsia="he-IL"/>
              </w:rPr>
            </w:pPr>
            <w:r w:rsidRPr="00703DE4">
              <w:rPr>
                <w:b/>
                <w:bCs/>
                <w:rtl/>
                <w:lang w:eastAsia="he-IL"/>
              </w:rPr>
              <w:t>201</w:t>
            </w:r>
            <w:r w:rsidRPr="00703DE4">
              <w:rPr>
                <w:rFonts w:hint="cs"/>
                <w:b/>
                <w:bCs/>
                <w:rtl/>
                <w:lang w:eastAsia="he-IL"/>
              </w:rPr>
              <w:t>8</w:t>
            </w:r>
            <w:r w:rsidRPr="00703DE4">
              <w:rPr>
                <w:b/>
                <w:bCs/>
                <w:rtl/>
                <w:lang w:eastAsia="he-IL"/>
              </w:rPr>
              <w:t xml:space="preserve"> לעומת 201</w:t>
            </w:r>
            <w:r w:rsidRPr="00703DE4">
              <w:rPr>
                <w:rFonts w:hint="cs"/>
                <w:b/>
                <w:bCs/>
                <w:rtl/>
                <w:lang w:eastAsia="he-IL"/>
              </w:rPr>
              <w:t>7</w:t>
            </w:r>
          </w:p>
        </w:tc>
      </w:tr>
      <w:tr w:rsidR="004940F5" w:rsidRPr="00BD1EDC" w:rsidTr="00606A30">
        <w:trPr>
          <w:trHeight w:val="753"/>
        </w:trPr>
        <w:tc>
          <w:tcPr>
            <w:tcW w:w="756" w:type="pct"/>
            <w:tcBorders>
              <w:top w:val="single" w:sz="4" w:space="0" w:color="auto"/>
              <w:left w:val="single" w:sz="4" w:space="0" w:color="auto"/>
              <w:bottom w:val="single" w:sz="4" w:space="0" w:color="auto"/>
              <w:right w:val="single" w:sz="4" w:space="0" w:color="auto"/>
            </w:tcBorders>
            <w:noWrap/>
          </w:tcPr>
          <w:p w:rsidR="006F00B3" w:rsidRPr="00703DE4" w:rsidRDefault="006F00B3" w:rsidP="006F00B3">
            <w:pPr>
              <w:pStyle w:val="a0"/>
              <w:jc w:val="left"/>
              <w:rPr>
                <w:sz w:val="24"/>
              </w:rPr>
            </w:pPr>
            <w:r w:rsidRPr="00703DE4">
              <w:rPr>
                <w:rFonts w:hint="cs"/>
                <w:sz w:val="24"/>
                <w:rtl/>
              </w:rPr>
              <w:t>ייצור חשמל משרפת דלקים</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tl/>
                <w:lang w:eastAsia="he-IL"/>
              </w:rPr>
              <w:t>5,033</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tl/>
                <w:lang w:eastAsia="he-IL"/>
              </w:rPr>
              <w:t>5,115</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lang w:eastAsia="he-IL"/>
              </w:rPr>
              <w:t>5,376</w:t>
            </w:r>
          </w:p>
        </w:tc>
        <w:tc>
          <w:tcPr>
            <w:tcW w:w="418" w:type="pct"/>
            <w:tcBorders>
              <w:top w:val="single" w:sz="4" w:space="0" w:color="auto"/>
              <w:left w:val="single" w:sz="4" w:space="0" w:color="auto"/>
              <w:bottom w:val="single" w:sz="4" w:space="0" w:color="auto"/>
              <w:right w:val="nil"/>
            </w:tcBorders>
            <w:vAlign w:val="center"/>
          </w:tcPr>
          <w:p w:rsidR="006F00B3" w:rsidRPr="00703DE4" w:rsidRDefault="00EF6F63" w:rsidP="00606A30">
            <w:pPr>
              <w:spacing w:line="240" w:lineRule="auto"/>
              <w:ind w:left="0" w:right="0"/>
              <w:jc w:val="center"/>
              <w:rPr>
                <w:rtl/>
                <w:lang w:eastAsia="he-IL"/>
              </w:rPr>
            </w:pPr>
            <w:r w:rsidRPr="00703DE4">
              <w:rPr>
                <w:rtl/>
                <w:lang w:eastAsia="he-IL"/>
              </w:rPr>
              <w:t>5,209</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EF6F63" w:rsidP="00606A30">
            <w:pPr>
              <w:spacing w:line="240" w:lineRule="auto"/>
              <w:ind w:left="0" w:right="0"/>
              <w:jc w:val="center"/>
              <w:rPr>
                <w:lang w:eastAsia="he-IL"/>
              </w:rPr>
            </w:pPr>
            <w:r w:rsidRPr="00703DE4">
              <w:rPr>
                <w:rtl/>
                <w:lang w:eastAsia="he-IL"/>
              </w:rPr>
              <w:t>5,174</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EF6F63" w:rsidP="006F00B3">
            <w:pPr>
              <w:spacing w:line="240" w:lineRule="auto"/>
              <w:ind w:left="0" w:right="0"/>
              <w:jc w:val="center"/>
              <w:rPr>
                <w:lang w:eastAsia="he-IL"/>
              </w:rPr>
            </w:pPr>
            <w:r w:rsidRPr="00703DE4">
              <w:rPr>
                <w:rtl/>
                <w:lang w:eastAsia="he-IL"/>
              </w:rPr>
              <w:t>5,400</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rtl/>
                <w:lang w:eastAsia="he-IL"/>
              </w:rPr>
            </w:pPr>
            <w:r w:rsidRPr="00703DE4">
              <w:rPr>
                <w:rFonts w:hint="cs"/>
                <w:rtl/>
                <w:lang w:eastAsia="he-IL"/>
              </w:rPr>
              <w:t>5,617</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rtl/>
                <w:lang w:eastAsia="he-IL"/>
              </w:rPr>
            </w:pPr>
            <w:r w:rsidRPr="00703DE4">
              <w:rPr>
                <w:rFonts w:hint="cs"/>
                <w:rtl/>
                <w:lang w:eastAsia="he-IL"/>
              </w:rPr>
              <w:t>5,646</w:t>
            </w:r>
          </w:p>
        </w:tc>
        <w:tc>
          <w:tcPr>
            <w:tcW w:w="418"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164172">
            <w:pPr>
              <w:spacing w:line="240" w:lineRule="auto"/>
              <w:ind w:left="0" w:right="0"/>
              <w:jc w:val="center"/>
              <w:rPr>
                <w:rtl/>
                <w:lang w:eastAsia="he-IL"/>
              </w:rPr>
            </w:pPr>
            <w:r w:rsidRPr="00703DE4">
              <w:rPr>
                <w:rFonts w:hint="cs"/>
                <w:rtl/>
                <w:lang w:eastAsia="he-IL"/>
              </w:rPr>
              <w:t>5,760</w:t>
            </w:r>
          </w:p>
        </w:tc>
        <w:tc>
          <w:tcPr>
            <w:tcW w:w="479" w:type="pct"/>
            <w:tcBorders>
              <w:top w:val="single" w:sz="4" w:space="0" w:color="auto"/>
              <w:left w:val="single" w:sz="4" w:space="0" w:color="auto"/>
              <w:bottom w:val="single" w:sz="4" w:space="0" w:color="auto"/>
              <w:right w:val="single" w:sz="4" w:space="0" w:color="auto"/>
            </w:tcBorders>
            <w:vAlign w:val="center"/>
          </w:tcPr>
          <w:p w:rsidR="006F00B3" w:rsidRPr="00703DE4" w:rsidRDefault="006F00B3" w:rsidP="006F00B3">
            <w:pPr>
              <w:spacing w:line="240" w:lineRule="auto"/>
              <w:ind w:left="0" w:right="0"/>
              <w:jc w:val="center"/>
              <w:rPr>
                <w:rtl/>
                <w:lang w:eastAsia="he-IL"/>
              </w:rPr>
            </w:pPr>
            <w:r w:rsidRPr="00703DE4">
              <w:rPr>
                <w:rFonts w:hint="cs"/>
                <w:rtl/>
                <w:lang w:eastAsia="he-IL"/>
              </w:rPr>
              <w:t>2.0</w:t>
            </w:r>
          </w:p>
        </w:tc>
      </w:tr>
      <w:tr w:rsidR="00EF6F63" w:rsidRPr="00BD1EDC" w:rsidTr="00606A30">
        <w:trPr>
          <w:trHeight w:val="865"/>
        </w:trPr>
        <w:tc>
          <w:tcPr>
            <w:tcW w:w="756" w:type="pct"/>
            <w:tcBorders>
              <w:top w:val="single" w:sz="4" w:space="0" w:color="auto"/>
              <w:left w:val="single" w:sz="4" w:space="0" w:color="auto"/>
              <w:bottom w:val="single" w:sz="4" w:space="0" w:color="auto"/>
              <w:right w:val="single" w:sz="4" w:space="0" w:color="auto"/>
            </w:tcBorders>
            <w:noWrap/>
          </w:tcPr>
          <w:p w:rsidR="00EF6F63" w:rsidRPr="00703DE4" w:rsidRDefault="00EF6F63" w:rsidP="00EF6F63">
            <w:pPr>
              <w:pStyle w:val="a0"/>
              <w:jc w:val="left"/>
              <w:rPr>
                <w:sz w:val="24"/>
                <w:rtl/>
              </w:rPr>
            </w:pPr>
            <w:r w:rsidRPr="00703DE4">
              <w:rPr>
                <w:rFonts w:hint="cs"/>
                <w:sz w:val="24"/>
                <w:rtl/>
              </w:rPr>
              <w:t>צריכת דלקים לייצור חשמל</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lang w:eastAsia="he-IL"/>
              </w:rPr>
            </w:pPr>
            <w:r w:rsidRPr="00703DE4">
              <w:rPr>
                <w:rtl/>
                <w:lang w:eastAsia="he-IL"/>
              </w:rPr>
              <w:t>14,270</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lang w:eastAsia="he-IL"/>
              </w:rPr>
            </w:pPr>
            <w:r w:rsidRPr="00703DE4">
              <w:rPr>
                <w:rtl/>
                <w:lang w:eastAsia="he-IL"/>
              </w:rPr>
              <w:t>14,185</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lang w:eastAsia="he-IL"/>
              </w:rPr>
            </w:pPr>
            <w:r w:rsidRPr="00703DE4">
              <w:rPr>
                <w:lang w:eastAsia="he-IL"/>
              </w:rPr>
              <w:t>14,742</w:t>
            </w:r>
          </w:p>
        </w:tc>
        <w:tc>
          <w:tcPr>
            <w:tcW w:w="418" w:type="pct"/>
            <w:tcBorders>
              <w:top w:val="single" w:sz="4" w:space="0" w:color="auto"/>
              <w:left w:val="single" w:sz="4" w:space="0" w:color="auto"/>
              <w:bottom w:val="single" w:sz="4" w:space="0" w:color="auto"/>
              <w:right w:val="nil"/>
            </w:tcBorders>
            <w:vAlign w:val="center"/>
          </w:tcPr>
          <w:p w:rsidR="00EF6F63" w:rsidRPr="00703DE4" w:rsidRDefault="00751A6B" w:rsidP="00EF6F63">
            <w:pPr>
              <w:spacing w:line="240" w:lineRule="auto"/>
              <w:ind w:left="0" w:right="0"/>
              <w:jc w:val="center"/>
              <w:rPr>
                <w:rtl/>
                <w:lang w:eastAsia="he-IL"/>
              </w:rPr>
            </w:pPr>
            <w:r w:rsidRPr="00703DE4">
              <w:rPr>
                <w:rtl/>
                <w:lang w:eastAsia="he-IL"/>
              </w:rPr>
              <w:t>12,349</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751A6B" w:rsidP="00EF6F63">
            <w:pPr>
              <w:spacing w:line="240" w:lineRule="auto"/>
              <w:ind w:left="0" w:right="0"/>
              <w:jc w:val="center"/>
              <w:rPr>
                <w:rtl/>
                <w:lang w:eastAsia="he-IL"/>
              </w:rPr>
            </w:pPr>
            <w:r w:rsidRPr="00703DE4">
              <w:rPr>
                <w:rtl/>
                <w:lang w:eastAsia="he-IL"/>
              </w:rPr>
              <w:t>11,850</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751A6B" w:rsidP="00EF6F63">
            <w:pPr>
              <w:spacing w:line="240" w:lineRule="auto"/>
              <w:ind w:left="0" w:right="0"/>
              <w:jc w:val="center"/>
              <w:rPr>
                <w:lang w:eastAsia="he-IL"/>
              </w:rPr>
            </w:pPr>
            <w:r w:rsidRPr="00703DE4">
              <w:rPr>
                <w:rtl/>
                <w:lang w:eastAsia="he-IL"/>
              </w:rPr>
              <w:t>12,149</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rtl/>
                <w:lang w:eastAsia="he-IL"/>
              </w:rPr>
            </w:pPr>
            <w:r w:rsidRPr="00703DE4">
              <w:rPr>
                <w:rFonts w:hint="cs"/>
                <w:rtl/>
                <w:lang w:eastAsia="he-IL"/>
              </w:rPr>
              <w:t>12,229</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rtl/>
                <w:lang w:eastAsia="he-IL"/>
              </w:rPr>
            </w:pPr>
            <w:r w:rsidRPr="00703DE4">
              <w:rPr>
                <w:rFonts w:hint="cs"/>
                <w:rtl/>
                <w:lang w:eastAsia="he-IL"/>
              </w:rPr>
              <w:t>12,318</w:t>
            </w:r>
          </w:p>
        </w:tc>
        <w:tc>
          <w:tcPr>
            <w:tcW w:w="418"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rtl/>
                <w:lang w:eastAsia="he-IL"/>
              </w:rPr>
            </w:pPr>
            <w:r w:rsidRPr="00703DE4">
              <w:rPr>
                <w:rFonts w:hint="cs"/>
                <w:rtl/>
                <w:lang w:eastAsia="he-IL"/>
              </w:rPr>
              <w:t>12,747</w:t>
            </w:r>
          </w:p>
        </w:tc>
        <w:tc>
          <w:tcPr>
            <w:tcW w:w="479" w:type="pct"/>
            <w:tcBorders>
              <w:top w:val="single" w:sz="4" w:space="0" w:color="auto"/>
              <w:left w:val="single" w:sz="4" w:space="0" w:color="auto"/>
              <w:bottom w:val="single" w:sz="4" w:space="0" w:color="auto"/>
              <w:right w:val="single" w:sz="4" w:space="0" w:color="auto"/>
            </w:tcBorders>
            <w:vAlign w:val="center"/>
          </w:tcPr>
          <w:p w:rsidR="00EF6F63" w:rsidRPr="00703DE4" w:rsidRDefault="00EF6F63" w:rsidP="00EF6F63">
            <w:pPr>
              <w:spacing w:line="240" w:lineRule="auto"/>
              <w:ind w:left="0" w:right="0"/>
              <w:jc w:val="center"/>
              <w:rPr>
                <w:rtl/>
                <w:lang w:eastAsia="he-IL"/>
              </w:rPr>
            </w:pPr>
            <w:r w:rsidRPr="00703DE4">
              <w:rPr>
                <w:rFonts w:hint="cs"/>
                <w:rtl/>
                <w:lang w:eastAsia="he-IL"/>
              </w:rPr>
              <w:t>3.5</w:t>
            </w:r>
          </w:p>
        </w:tc>
      </w:tr>
      <w:tr w:rsidR="004940F5" w:rsidRPr="00BD1EDC" w:rsidTr="003F6CB7">
        <w:trPr>
          <w:trHeight w:val="574"/>
        </w:trPr>
        <w:tc>
          <w:tcPr>
            <w:tcW w:w="756" w:type="pct"/>
            <w:tcBorders>
              <w:top w:val="single" w:sz="4" w:space="0" w:color="auto"/>
              <w:left w:val="single" w:sz="4" w:space="0" w:color="auto"/>
              <w:bottom w:val="double" w:sz="4" w:space="0" w:color="auto"/>
              <w:right w:val="single" w:sz="4" w:space="0" w:color="auto"/>
            </w:tcBorders>
            <w:noWrap/>
          </w:tcPr>
          <w:p w:rsidR="006F00B3" w:rsidRPr="00703DE4" w:rsidRDefault="00606A30" w:rsidP="006F00B3">
            <w:pPr>
              <w:pStyle w:val="a0"/>
              <w:jc w:val="left"/>
              <w:rPr>
                <w:sz w:val="24"/>
                <w:rtl/>
              </w:rPr>
            </w:pPr>
            <w:r w:rsidRPr="00703DE4">
              <w:rPr>
                <w:sz w:val="24"/>
                <w:rtl/>
              </w:rPr>
              <w:t>נצילות התמרה</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tl/>
                <w:lang w:eastAsia="he-IL"/>
              </w:rPr>
              <w:t>35.</w:t>
            </w:r>
            <w:r w:rsidRPr="00703DE4">
              <w:rPr>
                <w:rFonts w:hint="cs"/>
                <w:rtl/>
                <w:lang w:eastAsia="he-IL"/>
              </w:rPr>
              <w:t>3</w:t>
            </w:r>
            <w:r w:rsidRPr="00703DE4">
              <w:rPr>
                <w:rtl/>
                <w:lang w:eastAsia="he-IL"/>
              </w:rPr>
              <w:t>%</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tl/>
                <w:lang w:eastAsia="he-IL"/>
              </w:rPr>
              <w:t>36.</w:t>
            </w:r>
            <w:r w:rsidRPr="00703DE4">
              <w:rPr>
                <w:rFonts w:hint="cs"/>
                <w:rtl/>
                <w:lang w:eastAsia="he-IL"/>
              </w:rPr>
              <w:t>1</w:t>
            </w:r>
            <w:r w:rsidRPr="00703DE4">
              <w:rPr>
                <w:rtl/>
                <w:lang w:eastAsia="he-IL"/>
              </w:rPr>
              <w:t>%</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Fonts w:hint="cs"/>
                <w:rtl/>
                <w:lang w:eastAsia="he-IL"/>
              </w:rPr>
              <w:t>36.5%</w:t>
            </w:r>
          </w:p>
        </w:tc>
        <w:tc>
          <w:tcPr>
            <w:tcW w:w="418" w:type="pct"/>
            <w:tcBorders>
              <w:top w:val="single" w:sz="4" w:space="0" w:color="auto"/>
              <w:left w:val="single" w:sz="4" w:space="0" w:color="auto"/>
              <w:bottom w:val="double" w:sz="4" w:space="0" w:color="auto"/>
              <w:right w:val="nil"/>
            </w:tcBorders>
            <w:vAlign w:val="center"/>
          </w:tcPr>
          <w:p w:rsidR="006F00B3" w:rsidRPr="00703DE4" w:rsidRDefault="00606A30" w:rsidP="00751A6B">
            <w:pPr>
              <w:spacing w:line="240" w:lineRule="auto"/>
              <w:ind w:left="0" w:right="0"/>
              <w:jc w:val="center"/>
              <w:rPr>
                <w:rtl/>
                <w:lang w:eastAsia="he-IL"/>
              </w:rPr>
            </w:pPr>
            <w:r w:rsidRPr="00703DE4">
              <w:rPr>
                <w:rFonts w:hint="cs"/>
                <w:rtl/>
                <w:lang w:eastAsia="he-IL"/>
              </w:rPr>
              <w:t>42.</w:t>
            </w:r>
            <w:r w:rsidR="00751A6B" w:rsidRPr="00703DE4">
              <w:rPr>
                <w:rFonts w:hint="cs"/>
                <w:rtl/>
                <w:lang w:eastAsia="he-IL"/>
              </w:rPr>
              <w:t>2</w:t>
            </w:r>
            <w:r w:rsidRPr="00703DE4">
              <w:rPr>
                <w:rFonts w:hint="cs"/>
                <w:rtl/>
                <w:lang w:eastAsia="he-IL"/>
              </w:rPr>
              <w:t>%</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06A30" w:rsidP="00EF6F63">
            <w:pPr>
              <w:spacing w:line="240" w:lineRule="auto"/>
              <w:ind w:left="0" w:right="0"/>
              <w:jc w:val="center"/>
              <w:rPr>
                <w:rtl/>
                <w:lang w:eastAsia="he-IL"/>
              </w:rPr>
            </w:pPr>
            <w:r w:rsidRPr="00703DE4">
              <w:rPr>
                <w:rFonts w:hint="cs"/>
                <w:rtl/>
                <w:lang w:eastAsia="he-IL"/>
              </w:rPr>
              <w:t>43.</w:t>
            </w:r>
            <w:r w:rsidR="00EF6F63" w:rsidRPr="00703DE4">
              <w:rPr>
                <w:rFonts w:hint="cs"/>
                <w:rtl/>
                <w:lang w:eastAsia="he-IL"/>
              </w:rPr>
              <w:t>7</w:t>
            </w:r>
            <w:r w:rsidRPr="00703DE4">
              <w:rPr>
                <w:rFonts w:hint="cs"/>
                <w:rtl/>
                <w:lang w:eastAsia="he-IL"/>
              </w:rPr>
              <w:t>%</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751A6B">
            <w:pPr>
              <w:spacing w:line="240" w:lineRule="auto"/>
              <w:ind w:left="0" w:right="0"/>
              <w:jc w:val="center"/>
              <w:rPr>
                <w:lang w:eastAsia="he-IL"/>
              </w:rPr>
            </w:pPr>
            <w:r w:rsidRPr="00703DE4">
              <w:rPr>
                <w:rFonts w:hint="cs"/>
                <w:rtl/>
                <w:lang w:eastAsia="he-IL"/>
              </w:rPr>
              <w:t>44.</w:t>
            </w:r>
            <w:r w:rsidR="00751A6B" w:rsidRPr="00703DE4">
              <w:rPr>
                <w:rFonts w:hint="cs"/>
                <w:rtl/>
                <w:lang w:eastAsia="he-IL"/>
              </w:rPr>
              <w:t>4</w:t>
            </w:r>
            <w:r w:rsidRPr="00703DE4">
              <w:rPr>
                <w:rFonts w:hint="cs"/>
                <w:rtl/>
                <w:lang w:eastAsia="he-IL"/>
              </w:rPr>
              <w:t>%</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rtl/>
                <w:lang w:eastAsia="he-IL"/>
              </w:rPr>
            </w:pPr>
            <w:r w:rsidRPr="00703DE4">
              <w:rPr>
                <w:rFonts w:hint="cs"/>
                <w:rtl/>
                <w:lang w:eastAsia="he-IL"/>
              </w:rPr>
              <w:t>45.9%</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rtl/>
                <w:lang w:eastAsia="he-IL"/>
              </w:rPr>
            </w:pPr>
            <w:r w:rsidRPr="00703DE4">
              <w:rPr>
                <w:rFonts w:hint="cs"/>
                <w:rtl/>
                <w:lang w:eastAsia="he-IL"/>
              </w:rPr>
              <w:t>45.8%</w:t>
            </w:r>
          </w:p>
        </w:tc>
        <w:tc>
          <w:tcPr>
            <w:tcW w:w="418"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164172">
            <w:pPr>
              <w:spacing w:line="240" w:lineRule="auto"/>
              <w:ind w:left="0" w:right="0"/>
              <w:jc w:val="center"/>
              <w:rPr>
                <w:rtl/>
                <w:lang w:eastAsia="he-IL"/>
              </w:rPr>
            </w:pPr>
            <w:r w:rsidRPr="00703DE4">
              <w:rPr>
                <w:rFonts w:hint="cs"/>
                <w:rtl/>
                <w:lang w:eastAsia="he-IL"/>
              </w:rPr>
              <w:t>45.2%</w:t>
            </w:r>
          </w:p>
        </w:tc>
        <w:tc>
          <w:tcPr>
            <w:tcW w:w="479" w:type="pct"/>
            <w:tcBorders>
              <w:top w:val="single" w:sz="4" w:space="0" w:color="auto"/>
              <w:left w:val="single" w:sz="4" w:space="0" w:color="auto"/>
              <w:bottom w:val="double" w:sz="4" w:space="0" w:color="auto"/>
              <w:right w:val="single" w:sz="4" w:space="0" w:color="auto"/>
            </w:tcBorders>
            <w:vAlign w:val="center"/>
          </w:tcPr>
          <w:p w:rsidR="006F00B3" w:rsidRPr="00703DE4" w:rsidRDefault="006F00B3" w:rsidP="006F00B3">
            <w:pPr>
              <w:spacing w:line="240" w:lineRule="auto"/>
              <w:ind w:left="0" w:right="0"/>
              <w:jc w:val="center"/>
              <w:rPr>
                <w:lang w:eastAsia="he-IL"/>
              </w:rPr>
            </w:pPr>
            <w:r w:rsidRPr="00703DE4">
              <w:rPr>
                <w:rFonts w:hint="cs"/>
                <w:rtl/>
                <w:lang w:eastAsia="he-IL"/>
              </w:rPr>
              <w:t>1.4-</w:t>
            </w:r>
          </w:p>
        </w:tc>
      </w:tr>
    </w:tbl>
    <w:p w:rsidR="00447DB9" w:rsidRPr="00BD1EDC" w:rsidRDefault="00447DB9" w:rsidP="00703DE4">
      <w:pPr>
        <w:pStyle w:val="3"/>
        <w:rPr>
          <w:rtl/>
        </w:rPr>
      </w:pPr>
      <w:r w:rsidRPr="00BD1EDC">
        <w:rPr>
          <w:rtl/>
        </w:rPr>
        <w:t xml:space="preserve">צריכת </w:t>
      </w:r>
      <w:r w:rsidRPr="00BD1EDC">
        <w:rPr>
          <w:rFonts w:hint="cs"/>
          <w:rtl/>
        </w:rPr>
        <w:t>ה</w:t>
      </w:r>
      <w:r w:rsidRPr="00BD1EDC">
        <w:rPr>
          <w:rtl/>
        </w:rPr>
        <w:t>חשמל</w:t>
      </w:r>
    </w:p>
    <w:p w:rsidR="0084651B" w:rsidRDefault="00447DB9" w:rsidP="0084651B">
      <w:pPr>
        <w:rPr>
          <w:rStyle w:val="afa"/>
          <w:rFonts w:cs="Arial"/>
          <w:rtl/>
        </w:rPr>
      </w:pPr>
      <w:bookmarkStart w:id="1" w:name="OLE_LINK2"/>
      <w:bookmarkStart w:id="2" w:name="OLE_LINK3"/>
      <w:r w:rsidRPr="00BD1EDC">
        <w:rPr>
          <w:rtl/>
        </w:rPr>
        <w:t xml:space="preserve">צריכת החשמל הסופית במשק הסתכמה בשנת 2018 ב-58,291 מיליוני </w:t>
      </w:r>
      <w:proofErr w:type="spellStart"/>
      <w:r w:rsidRPr="00BD1EDC">
        <w:rPr>
          <w:rtl/>
        </w:rPr>
        <w:t>ק</w:t>
      </w:r>
      <w:r w:rsidR="00703DE4">
        <w:rPr>
          <w:rtl/>
        </w:rPr>
        <w:t>וט"ש</w:t>
      </w:r>
      <w:proofErr w:type="spellEnd"/>
      <w:r w:rsidR="00703DE4">
        <w:rPr>
          <w:rtl/>
        </w:rPr>
        <w:t>, עלייה של 2.1% לעומת 2017.</w:t>
      </w:r>
      <w:bookmarkEnd w:id="1"/>
      <w:bookmarkEnd w:id="2"/>
    </w:p>
    <w:p w:rsidR="00447DB9" w:rsidRPr="00BD1EDC" w:rsidRDefault="00447DB9" w:rsidP="0084651B">
      <w:pPr>
        <w:jc w:val="center"/>
        <w:rPr>
          <w:rStyle w:val="afa"/>
          <w:rFonts w:cs="Arial"/>
          <w:bCs w:val="0"/>
          <w:rtl/>
        </w:rPr>
      </w:pPr>
      <w:r w:rsidRPr="00BD1EDC">
        <w:rPr>
          <w:rStyle w:val="afa"/>
          <w:rFonts w:cs="Arial"/>
          <w:rtl/>
        </w:rPr>
        <w:t xml:space="preserve">לוח </w:t>
      </w:r>
      <w:r w:rsidRPr="00BD1EDC">
        <w:rPr>
          <w:rStyle w:val="afa"/>
          <w:rFonts w:cs="Arial" w:hint="cs"/>
          <w:rtl/>
        </w:rPr>
        <w:t>ח -</w:t>
      </w:r>
      <w:r w:rsidRPr="00BD1EDC">
        <w:rPr>
          <w:rStyle w:val="afa"/>
          <w:rFonts w:cs="Arial"/>
          <w:rtl/>
        </w:rPr>
        <w:t xml:space="preserve"> צריכת החשמל לפי קבוצות צרכנים (מיליוני </w:t>
      </w:r>
      <w:proofErr w:type="spellStart"/>
      <w:r w:rsidRPr="00BD1EDC">
        <w:rPr>
          <w:rStyle w:val="afa"/>
          <w:rFonts w:cs="Arial"/>
          <w:rtl/>
        </w:rPr>
        <w:t>קוט"ש</w:t>
      </w:r>
      <w:proofErr w:type="spellEnd"/>
      <w:r w:rsidRPr="00BD1EDC">
        <w:rPr>
          <w:rStyle w:val="afa"/>
          <w:rFonts w:cs="Arial"/>
          <w:rtl/>
        </w:rPr>
        <w:t>)</w:t>
      </w:r>
    </w:p>
    <w:tbl>
      <w:tblPr>
        <w:bidiVisual/>
        <w:tblW w:w="101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וח ח - צריכת החשמל לפי קבוצות צרכנים (מיליוני קוט&quot;ש)"/>
        <w:tblDescription w:val="לוח ח - צריכת החשמל לפי קבוצות צרכנים (מיליוני קוט&quot;ש)"/>
      </w:tblPr>
      <w:tblGrid>
        <w:gridCol w:w="1227"/>
        <w:gridCol w:w="951"/>
        <w:gridCol w:w="959"/>
        <w:gridCol w:w="959"/>
        <w:gridCol w:w="959"/>
        <w:gridCol w:w="959"/>
        <w:gridCol w:w="959"/>
        <w:gridCol w:w="959"/>
        <w:gridCol w:w="961"/>
        <w:gridCol w:w="1306"/>
      </w:tblGrid>
      <w:tr w:rsidR="00447DB9" w:rsidRPr="00BD1EDC" w:rsidTr="0084651B">
        <w:trPr>
          <w:trHeight w:val="276"/>
          <w:tblHeader/>
        </w:trPr>
        <w:tc>
          <w:tcPr>
            <w:tcW w:w="1227" w:type="dxa"/>
            <w:vMerge w:val="restart"/>
            <w:tcBorders>
              <w:top w:val="double" w:sz="4" w:space="0" w:color="auto"/>
            </w:tcBorders>
            <w:shd w:val="clear" w:color="auto" w:fill="auto"/>
            <w:vAlign w:val="bottom"/>
            <w:hideMark/>
          </w:tcPr>
          <w:p w:rsidR="00447DB9" w:rsidRPr="00BD1EDC" w:rsidRDefault="00447DB9" w:rsidP="00447DB9">
            <w:pPr>
              <w:spacing w:line="240" w:lineRule="auto"/>
              <w:ind w:left="0" w:right="0"/>
              <w:jc w:val="center"/>
              <w:rPr>
                <w:b/>
                <w:bCs/>
              </w:rPr>
            </w:pPr>
            <w:r w:rsidRPr="00BD1EDC">
              <w:rPr>
                <w:rFonts w:hint="cs"/>
                <w:b/>
                <w:bCs/>
                <w:rtl/>
              </w:rPr>
              <w:t>צריכת חשמל</w:t>
            </w:r>
          </w:p>
        </w:tc>
        <w:tc>
          <w:tcPr>
            <w:tcW w:w="951"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2011</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2012</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2013</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tl/>
              </w:rPr>
            </w:pPr>
            <w:r w:rsidRPr="00BD1EDC">
              <w:rPr>
                <w:rFonts w:hint="cs"/>
                <w:b/>
                <w:bCs/>
                <w:lang w:eastAsia="he-IL"/>
              </w:rPr>
              <w:t>2014</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2015</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2016</w:t>
            </w:r>
          </w:p>
        </w:tc>
        <w:tc>
          <w:tcPr>
            <w:tcW w:w="959"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rFonts w:hint="cs"/>
                <w:b/>
                <w:bCs/>
                <w:lang w:eastAsia="he-IL"/>
              </w:rPr>
              <w:t>2017</w:t>
            </w:r>
          </w:p>
        </w:tc>
        <w:tc>
          <w:tcPr>
            <w:tcW w:w="961" w:type="dxa"/>
            <w:vMerge w:val="restart"/>
            <w:tcBorders>
              <w:top w:val="double" w:sz="4" w:space="0" w:color="auto"/>
            </w:tcBorders>
            <w:shd w:val="clear" w:color="auto" w:fill="auto"/>
            <w:noWrap/>
            <w:vAlign w:val="center"/>
            <w:hideMark/>
          </w:tcPr>
          <w:p w:rsidR="00447DB9" w:rsidRPr="00BD1EDC" w:rsidRDefault="00447DB9" w:rsidP="00447DB9">
            <w:pPr>
              <w:spacing w:line="240" w:lineRule="auto"/>
              <w:ind w:left="0" w:right="0"/>
              <w:jc w:val="center"/>
              <w:rPr>
                <w:b/>
                <w:bCs/>
              </w:rPr>
            </w:pPr>
            <w:r w:rsidRPr="00BD1EDC">
              <w:rPr>
                <w:b/>
                <w:bCs/>
              </w:rPr>
              <w:t>2018</w:t>
            </w:r>
          </w:p>
        </w:tc>
        <w:tc>
          <w:tcPr>
            <w:tcW w:w="1306" w:type="dxa"/>
            <w:vMerge w:val="restart"/>
            <w:tcBorders>
              <w:top w:val="double" w:sz="4" w:space="0" w:color="auto"/>
            </w:tcBorders>
            <w:shd w:val="clear" w:color="auto" w:fill="auto"/>
            <w:vAlign w:val="center"/>
            <w:hideMark/>
          </w:tcPr>
          <w:p w:rsidR="00447DB9" w:rsidRPr="00BD1EDC" w:rsidRDefault="00447DB9" w:rsidP="00447DB9">
            <w:pPr>
              <w:spacing w:line="240" w:lineRule="auto"/>
              <w:ind w:left="0" w:right="0"/>
              <w:jc w:val="center"/>
              <w:rPr>
                <w:b/>
                <w:bCs/>
              </w:rPr>
            </w:pPr>
            <w:r w:rsidRPr="00BD1EDC">
              <w:rPr>
                <w:rFonts w:hint="cs"/>
                <w:b/>
                <w:bCs/>
                <w:rtl/>
                <w:lang w:eastAsia="he-IL"/>
              </w:rPr>
              <w:t>אחוז שינוי 2018 לעומת 2017</w:t>
            </w:r>
          </w:p>
        </w:tc>
      </w:tr>
      <w:tr w:rsidR="00447DB9" w:rsidRPr="00BD1EDC" w:rsidTr="0084651B">
        <w:trPr>
          <w:trHeight w:val="276"/>
        </w:trPr>
        <w:tc>
          <w:tcPr>
            <w:tcW w:w="1227" w:type="dxa"/>
            <w:vMerge/>
            <w:vAlign w:val="center"/>
            <w:hideMark/>
          </w:tcPr>
          <w:p w:rsidR="00447DB9" w:rsidRPr="00BD1EDC" w:rsidRDefault="00447DB9" w:rsidP="00447DB9">
            <w:pPr>
              <w:bidi w:val="0"/>
              <w:spacing w:line="240" w:lineRule="auto"/>
              <w:ind w:left="0" w:right="0"/>
            </w:pPr>
          </w:p>
        </w:tc>
        <w:tc>
          <w:tcPr>
            <w:tcW w:w="951"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59" w:type="dxa"/>
            <w:vMerge/>
            <w:vAlign w:val="center"/>
            <w:hideMark/>
          </w:tcPr>
          <w:p w:rsidR="00447DB9" w:rsidRPr="00BD1EDC" w:rsidRDefault="00447DB9" w:rsidP="00447DB9">
            <w:pPr>
              <w:spacing w:line="240" w:lineRule="auto"/>
              <w:ind w:left="0" w:right="0"/>
              <w:jc w:val="center"/>
            </w:pPr>
          </w:p>
        </w:tc>
        <w:tc>
          <w:tcPr>
            <w:tcW w:w="961" w:type="dxa"/>
            <w:vMerge/>
            <w:vAlign w:val="center"/>
            <w:hideMark/>
          </w:tcPr>
          <w:p w:rsidR="00447DB9" w:rsidRPr="00BD1EDC" w:rsidRDefault="00447DB9" w:rsidP="00447DB9">
            <w:pPr>
              <w:spacing w:line="240" w:lineRule="auto"/>
              <w:ind w:left="0" w:right="0"/>
              <w:jc w:val="center"/>
            </w:pPr>
          </w:p>
        </w:tc>
        <w:tc>
          <w:tcPr>
            <w:tcW w:w="1306" w:type="dxa"/>
            <w:vMerge/>
            <w:vAlign w:val="center"/>
            <w:hideMark/>
          </w:tcPr>
          <w:p w:rsidR="00447DB9" w:rsidRPr="00BD1EDC" w:rsidRDefault="00447DB9" w:rsidP="00447DB9">
            <w:pPr>
              <w:spacing w:line="240" w:lineRule="auto"/>
              <w:ind w:left="0" w:right="0"/>
              <w:jc w:val="center"/>
            </w:pPr>
          </w:p>
        </w:tc>
      </w:tr>
      <w:tr w:rsidR="00CD018F" w:rsidRPr="00BD1EDC" w:rsidTr="0084651B">
        <w:trPr>
          <w:trHeight w:val="671"/>
        </w:trPr>
        <w:tc>
          <w:tcPr>
            <w:tcW w:w="1227" w:type="dxa"/>
            <w:shd w:val="clear" w:color="auto" w:fill="auto"/>
            <w:noWrap/>
            <w:vAlign w:val="center"/>
            <w:hideMark/>
          </w:tcPr>
          <w:p w:rsidR="00447DB9" w:rsidRPr="003F6CB7" w:rsidRDefault="00447DB9" w:rsidP="003F6CB7">
            <w:pPr>
              <w:spacing w:line="240" w:lineRule="auto"/>
              <w:ind w:left="0" w:right="0"/>
              <w:rPr>
                <w:b/>
                <w:bCs/>
              </w:rPr>
            </w:pPr>
            <w:r w:rsidRPr="003F6CB7">
              <w:rPr>
                <w:rFonts w:hint="cs"/>
                <w:b/>
                <w:bCs/>
                <w:rtl/>
              </w:rPr>
              <w:t>סך הכל</w:t>
            </w:r>
          </w:p>
        </w:tc>
        <w:tc>
          <w:tcPr>
            <w:tcW w:w="951"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51,131</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lang w:eastAsia="he-IL"/>
              </w:rPr>
              <w:t>53,678</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52,030</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t>52,428</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t>54,789</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t>56,527</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t>57,080</w:t>
            </w:r>
          </w:p>
        </w:tc>
        <w:tc>
          <w:tcPr>
            <w:tcW w:w="961" w:type="dxa"/>
            <w:shd w:val="clear" w:color="auto" w:fill="auto"/>
            <w:noWrap/>
            <w:vAlign w:val="center"/>
            <w:hideMark/>
          </w:tcPr>
          <w:p w:rsidR="00447DB9" w:rsidRPr="00BD1EDC" w:rsidRDefault="00447DB9" w:rsidP="003F6CB7">
            <w:pPr>
              <w:spacing w:line="240" w:lineRule="auto"/>
              <w:ind w:left="0" w:right="0"/>
              <w:jc w:val="center"/>
            </w:pPr>
            <w:r w:rsidRPr="00BD1EDC">
              <w:t>58,291</w:t>
            </w:r>
          </w:p>
        </w:tc>
        <w:tc>
          <w:tcPr>
            <w:tcW w:w="1306" w:type="dxa"/>
            <w:shd w:val="clear" w:color="auto" w:fill="auto"/>
            <w:noWrap/>
            <w:vAlign w:val="center"/>
            <w:hideMark/>
          </w:tcPr>
          <w:p w:rsidR="00447DB9" w:rsidRPr="00BD1EDC" w:rsidRDefault="00447DB9" w:rsidP="003F6CB7">
            <w:pPr>
              <w:spacing w:line="240" w:lineRule="auto"/>
              <w:ind w:left="0" w:right="0"/>
              <w:jc w:val="center"/>
            </w:pPr>
            <w:r w:rsidRPr="00BD1EDC">
              <w:t>2.1</w:t>
            </w:r>
          </w:p>
        </w:tc>
      </w:tr>
      <w:tr w:rsidR="0084651B" w:rsidRPr="00BD1EDC" w:rsidTr="0084651B">
        <w:trPr>
          <w:trHeight w:val="671"/>
        </w:trPr>
        <w:tc>
          <w:tcPr>
            <w:tcW w:w="1227" w:type="dxa"/>
            <w:tcBorders>
              <w:right w:val="nil"/>
            </w:tcBorders>
            <w:shd w:val="clear" w:color="auto" w:fill="auto"/>
            <w:noWrap/>
            <w:vAlign w:val="center"/>
          </w:tcPr>
          <w:p w:rsidR="0084651B" w:rsidRPr="003F6CB7" w:rsidRDefault="0084651B" w:rsidP="003F6CB7">
            <w:pPr>
              <w:spacing w:line="240" w:lineRule="auto"/>
              <w:ind w:left="0" w:right="0"/>
              <w:rPr>
                <w:b/>
                <w:bCs/>
                <w:rtl/>
              </w:rPr>
            </w:pPr>
            <w:r>
              <w:rPr>
                <w:rFonts w:hint="cs"/>
                <w:b/>
                <w:bCs/>
                <w:rtl/>
              </w:rPr>
              <w:t>מזה:</w:t>
            </w:r>
          </w:p>
        </w:tc>
        <w:tc>
          <w:tcPr>
            <w:tcW w:w="951"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59"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961" w:type="dxa"/>
            <w:tcBorders>
              <w:left w:val="nil"/>
              <w:righ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c>
          <w:tcPr>
            <w:tcW w:w="1306" w:type="dxa"/>
            <w:tcBorders>
              <w:left w:val="nil"/>
            </w:tcBorders>
            <w:shd w:val="clear" w:color="auto" w:fill="auto"/>
            <w:noWrap/>
            <w:vAlign w:val="center"/>
          </w:tcPr>
          <w:p w:rsidR="0084651B" w:rsidRPr="0060575D" w:rsidRDefault="0084651B" w:rsidP="00323D5A">
            <w:pPr>
              <w:pStyle w:val="a0"/>
              <w:ind w:left="227"/>
              <w:jc w:val="center"/>
              <w:rPr>
                <w:b w:val="0"/>
                <w:bCs w:val="0"/>
                <w:sz w:val="24"/>
                <w:rtl/>
              </w:rPr>
            </w:pPr>
            <w:r>
              <w:rPr>
                <w:rFonts w:hint="cs"/>
                <w:b w:val="0"/>
                <w:bCs w:val="0"/>
                <w:sz w:val="24"/>
                <w:rtl/>
              </w:rPr>
              <w:t>-</w:t>
            </w:r>
          </w:p>
        </w:tc>
      </w:tr>
      <w:tr w:rsidR="00CD018F" w:rsidRPr="00BD1EDC" w:rsidTr="0084651B">
        <w:trPr>
          <w:trHeight w:val="671"/>
        </w:trPr>
        <w:tc>
          <w:tcPr>
            <w:tcW w:w="1227" w:type="dxa"/>
            <w:shd w:val="clear" w:color="auto" w:fill="auto"/>
            <w:noWrap/>
            <w:vAlign w:val="center"/>
            <w:hideMark/>
          </w:tcPr>
          <w:p w:rsidR="00447DB9" w:rsidRPr="003F6CB7" w:rsidRDefault="00447DB9" w:rsidP="003F6CB7">
            <w:pPr>
              <w:spacing w:line="240" w:lineRule="auto"/>
              <w:ind w:left="0" w:right="0"/>
              <w:rPr>
                <w:b/>
                <w:bCs/>
              </w:rPr>
            </w:pPr>
            <w:r w:rsidRPr="003F6CB7">
              <w:rPr>
                <w:b/>
                <w:bCs/>
                <w:rtl/>
              </w:rPr>
              <w:t>משקי בית</w:t>
            </w:r>
          </w:p>
        </w:tc>
        <w:tc>
          <w:tcPr>
            <w:tcW w:w="951"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15,909</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lang w:eastAsia="he-IL"/>
              </w:rPr>
              <w:t>17,245</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15,662</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16,319</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17,604</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rFonts w:hint="cs"/>
                <w:lang w:eastAsia="he-IL"/>
              </w:rPr>
              <w:t>18,154</w:t>
            </w:r>
          </w:p>
        </w:tc>
        <w:tc>
          <w:tcPr>
            <w:tcW w:w="959" w:type="dxa"/>
            <w:shd w:val="clear" w:color="auto" w:fill="auto"/>
            <w:noWrap/>
            <w:vAlign w:val="center"/>
            <w:hideMark/>
          </w:tcPr>
          <w:p w:rsidR="00447DB9" w:rsidRPr="00BD1EDC" w:rsidRDefault="00447DB9" w:rsidP="003F6CB7">
            <w:pPr>
              <w:spacing w:line="240" w:lineRule="auto"/>
              <w:ind w:left="0" w:right="0"/>
              <w:jc w:val="center"/>
            </w:pPr>
            <w:r w:rsidRPr="00BD1EDC">
              <w:rPr>
                <w:lang w:eastAsia="he-IL"/>
              </w:rPr>
              <w:t>18,571</w:t>
            </w:r>
          </w:p>
        </w:tc>
        <w:tc>
          <w:tcPr>
            <w:tcW w:w="961" w:type="dxa"/>
            <w:shd w:val="clear" w:color="auto" w:fill="auto"/>
            <w:noWrap/>
            <w:vAlign w:val="center"/>
            <w:hideMark/>
          </w:tcPr>
          <w:p w:rsidR="00447DB9" w:rsidRPr="00BD1EDC" w:rsidRDefault="00447DB9" w:rsidP="003F6CB7">
            <w:pPr>
              <w:spacing w:line="240" w:lineRule="auto"/>
              <w:ind w:left="0" w:right="0"/>
              <w:jc w:val="center"/>
            </w:pPr>
            <w:r w:rsidRPr="00BD1EDC">
              <w:t>18,525</w:t>
            </w:r>
          </w:p>
        </w:tc>
        <w:tc>
          <w:tcPr>
            <w:tcW w:w="1306" w:type="dxa"/>
            <w:shd w:val="clear" w:color="auto" w:fill="auto"/>
            <w:noWrap/>
            <w:vAlign w:val="center"/>
            <w:hideMark/>
          </w:tcPr>
          <w:p w:rsidR="00447DB9" w:rsidRPr="00BD1EDC" w:rsidRDefault="00447DB9" w:rsidP="003F6CB7">
            <w:pPr>
              <w:spacing w:line="240" w:lineRule="auto"/>
              <w:ind w:left="0" w:right="0"/>
              <w:jc w:val="center"/>
            </w:pPr>
            <w:r w:rsidRPr="00BD1EDC">
              <w:t>-0.3</w:t>
            </w:r>
          </w:p>
        </w:tc>
      </w:tr>
      <w:tr w:rsidR="00CD018F" w:rsidRPr="00BD1EDC" w:rsidTr="0084651B">
        <w:trPr>
          <w:trHeight w:val="671"/>
        </w:trPr>
        <w:tc>
          <w:tcPr>
            <w:tcW w:w="1227" w:type="dxa"/>
            <w:tcBorders>
              <w:bottom w:val="double" w:sz="4" w:space="0" w:color="auto"/>
            </w:tcBorders>
            <w:shd w:val="clear" w:color="auto" w:fill="auto"/>
            <w:noWrap/>
            <w:vAlign w:val="center"/>
            <w:hideMark/>
          </w:tcPr>
          <w:p w:rsidR="00447DB9" w:rsidRPr="003F6CB7" w:rsidRDefault="00447DB9" w:rsidP="003F6CB7">
            <w:pPr>
              <w:spacing w:line="240" w:lineRule="auto"/>
              <w:ind w:left="0" w:right="0"/>
              <w:rPr>
                <w:b/>
                <w:bCs/>
              </w:rPr>
            </w:pPr>
            <w:r w:rsidRPr="003F6CB7">
              <w:rPr>
                <w:rFonts w:hint="cs"/>
                <w:b/>
                <w:bCs/>
                <w:rtl/>
              </w:rPr>
              <w:t>תעשי</w:t>
            </w:r>
            <w:r w:rsidR="00DC5399">
              <w:rPr>
                <w:rFonts w:hint="cs"/>
                <w:b/>
                <w:bCs/>
                <w:rtl/>
              </w:rPr>
              <w:t>י</w:t>
            </w:r>
            <w:r w:rsidRPr="003F6CB7">
              <w:rPr>
                <w:rFonts w:hint="cs"/>
                <w:b/>
                <w:bCs/>
                <w:rtl/>
              </w:rPr>
              <w:t>ה</w:t>
            </w:r>
          </w:p>
        </w:tc>
        <w:tc>
          <w:tcPr>
            <w:tcW w:w="951" w:type="dxa"/>
            <w:tcBorders>
              <w:bottom w:val="double" w:sz="4" w:space="0" w:color="auto"/>
            </w:tcBorders>
            <w:shd w:val="clear" w:color="auto" w:fill="auto"/>
            <w:noWrap/>
            <w:vAlign w:val="center"/>
            <w:hideMark/>
          </w:tcPr>
          <w:p w:rsidR="00447DB9" w:rsidRPr="00BD1EDC" w:rsidRDefault="00DC5399" w:rsidP="003F6CB7">
            <w:pPr>
              <w:spacing w:line="240" w:lineRule="auto"/>
              <w:ind w:left="0" w:right="0"/>
              <w:jc w:val="center"/>
            </w:pPr>
            <w:r>
              <w:rPr>
                <w:rFonts w:hint="cs"/>
                <w:rtl/>
              </w:rPr>
              <w:t>..</w:t>
            </w:r>
          </w:p>
        </w:tc>
        <w:tc>
          <w:tcPr>
            <w:tcW w:w="959" w:type="dxa"/>
            <w:tcBorders>
              <w:bottom w:val="double" w:sz="4" w:space="0" w:color="auto"/>
            </w:tcBorders>
            <w:shd w:val="clear" w:color="auto" w:fill="auto"/>
            <w:noWrap/>
            <w:vAlign w:val="center"/>
            <w:hideMark/>
          </w:tcPr>
          <w:p w:rsidR="00447DB9" w:rsidRPr="00BD1EDC" w:rsidRDefault="00DC5399" w:rsidP="003F6CB7">
            <w:pPr>
              <w:spacing w:line="240" w:lineRule="auto"/>
              <w:ind w:left="0" w:right="0"/>
              <w:jc w:val="center"/>
            </w:pPr>
            <w:r>
              <w:rPr>
                <w:rFonts w:hint="cs"/>
                <w:rtl/>
              </w:rPr>
              <w:t>..</w:t>
            </w:r>
          </w:p>
        </w:tc>
        <w:tc>
          <w:tcPr>
            <w:tcW w:w="959"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13,180</w:t>
            </w:r>
          </w:p>
        </w:tc>
        <w:tc>
          <w:tcPr>
            <w:tcW w:w="959"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13,575</w:t>
            </w:r>
          </w:p>
        </w:tc>
        <w:tc>
          <w:tcPr>
            <w:tcW w:w="959"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12,858</w:t>
            </w:r>
          </w:p>
        </w:tc>
        <w:tc>
          <w:tcPr>
            <w:tcW w:w="959"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13,131</w:t>
            </w:r>
          </w:p>
        </w:tc>
        <w:tc>
          <w:tcPr>
            <w:tcW w:w="959"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13,427</w:t>
            </w:r>
          </w:p>
        </w:tc>
        <w:tc>
          <w:tcPr>
            <w:tcW w:w="961"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13,330</w:t>
            </w:r>
          </w:p>
        </w:tc>
        <w:tc>
          <w:tcPr>
            <w:tcW w:w="1306" w:type="dxa"/>
            <w:tcBorders>
              <w:bottom w:val="double" w:sz="4" w:space="0" w:color="auto"/>
            </w:tcBorders>
            <w:shd w:val="clear" w:color="auto" w:fill="auto"/>
            <w:noWrap/>
            <w:vAlign w:val="center"/>
            <w:hideMark/>
          </w:tcPr>
          <w:p w:rsidR="00447DB9" w:rsidRPr="00BD1EDC" w:rsidRDefault="00447DB9" w:rsidP="003F6CB7">
            <w:pPr>
              <w:spacing w:line="240" w:lineRule="auto"/>
              <w:ind w:left="0" w:right="0"/>
              <w:jc w:val="center"/>
            </w:pPr>
            <w:r w:rsidRPr="00BD1EDC">
              <w:t>-0.7</w:t>
            </w:r>
          </w:p>
        </w:tc>
      </w:tr>
    </w:tbl>
    <w:p w:rsidR="00AE6B14" w:rsidRPr="00955058" w:rsidRDefault="00AE6B14" w:rsidP="00447DB9">
      <w:pPr>
        <w:rPr>
          <w:color w:val="FF0000"/>
          <w:sz w:val="26"/>
          <w:szCs w:val="28"/>
          <w:rtl/>
        </w:rPr>
      </w:pPr>
      <w:r w:rsidRPr="00955058">
        <w:rPr>
          <w:color w:val="FF0000"/>
          <w:rtl/>
        </w:rPr>
        <w:br w:type="page"/>
      </w:r>
    </w:p>
    <w:p w:rsidR="00EB5FBB" w:rsidRPr="00BD1EDC" w:rsidRDefault="00EB5FBB" w:rsidP="00703DE4">
      <w:pPr>
        <w:pStyle w:val="2"/>
        <w:rPr>
          <w:rtl/>
        </w:rPr>
      </w:pPr>
      <w:bookmarkStart w:id="3" w:name="הגדרות"/>
      <w:r w:rsidRPr="00BD1EDC">
        <w:rPr>
          <w:rtl/>
        </w:rPr>
        <w:lastRenderedPageBreak/>
        <w:t>הגדרות</w:t>
      </w:r>
      <w:r w:rsidR="00792F67" w:rsidRPr="00BD1EDC">
        <w:rPr>
          <w:rtl/>
        </w:rPr>
        <w:t xml:space="preserve"> והסברים</w:t>
      </w:r>
    </w:p>
    <w:bookmarkEnd w:id="3"/>
    <w:p w:rsidR="00D02E82" w:rsidRPr="00BD1EDC" w:rsidRDefault="00D02E82" w:rsidP="00703DE4">
      <w:pPr>
        <w:pStyle w:val="3"/>
        <w:rPr>
          <w:rtl/>
        </w:rPr>
      </w:pPr>
      <w:r w:rsidRPr="00BD1EDC">
        <w:rPr>
          <w:rtl/>
        </w:rPr>
        <w:t>פרסום נתוני אנרגיה</w:t>
      </w:r>
    </w:p>
    <w:p w:rsidR="00D02E82" w:rsidRDefault="00D02E82" w:rsidP="00DC5399">
      <w:pPr>
        <w:rPr>
          <w:rtl/>
        </w:rPr>
      </w:pPr>
      <w:r w:rsidRPr="00BD1EDC">
        <w:rPr>
          <w:rtl/>
        </w:rPr>
        <w:t xml:space="preserve">ביולי 2011 פורסם בילקוט הפרסומים היתר ראש הממשלה לפרסם את נתוני </w:t>
      </w:r>
      <w:r w:rsidR="00650B49" w:rsidRPr="00BD1EDC">
        <w:rPr>
          <w:rFonts w:hint="cs"/>
          <w:rtl/>
        </w:rPr>
        <w:t>ענף זיקוק נפט ומוצריו</w:t>
      </w:r>
      <w:r w:rsidRPr="00BD1EDC">
        <w:rPr>
          <w:rtl/>
        </w:rPr>
        <w:t xml:space="preserve">. אם כי כדי למנוע פגיעה בתחרותיות הותר הפרסום, שנה מתום השנה האזרחית </w:t>
      </w:r>
      <w:r w:rsidR="00B07A53">
        <w:rPr>
          <w:rFonts w:hint="cs"/>
          <w:rtl/>
        </w:rPr>
        <w:t>ש</w:t>
      </w:r>
      <w:r w:rsidRPr="00BD1EDC">
        <w:rPr>
          <w:rtl/>
        </w:rPr>
        <w:t>בה התקיימה הפעילות בנושא. על כן</w:t>
      </w:r>
      <w:r w:rsidR="00B07A53">
        <w:rPr>
          <w:rFonts w:hint="cs"/>
          <w:rtl/>
        </w:rPr>
        <w:t>,</w:t>
      </w:r>
      <w:r w:rsidRPr="00BD1EDC">
        <w:rPr>
          <w:rtl/>
        </w:rPr>
        <w:t xml:space="preserve"> בהודעה זו מתפרסמים נתונים עד שנת </w:t>
      </w:r>
      <w:r w:rsidR="00DC5399">
        <w:rPr>
          <w:rFonts w:hint="cs"/>
          <w:rtl/>
        </w:rPr>
        <w:t>2018</w:t>
      </w:r>
      <w:r w:rsidRPr="00BD1EDC">
        <w:rPr>
          <w:rtl/>
        </w:rPr>
        <w:t>.</w:t>
      </w:r>
    </w:p>
    <w:p w:rsidR="00DC5399" w:rsidRPr="00DC5399" w:rsidRDefault="00DC5399" w:rsidP="00B07A53">
      <w:pPr>
        <w:rPr>
          <w:rtl/>
        </w:rPr>
      </w:pPr>
      <w:r>
        <w:rPr>
          <w:rFonts w:hint="cs"/>
          <w:rtl/>
        </w:rPr>
        <w:t>בנתוני מאזנים 201</w:t>
      </w:r>
      <w:r w:rsidR="00B07A53">
        <w:rPr>
          <w:rFonts w:hint="cs"/>
          <w:rtl/>
        </w:rPr>
        <w:t>8</w:t>
      </w:r>
      <w:r>
        <w:rPr>
          <w:rFonts w:hint="cs"/>
          <w:rtl/>
        </w:rPr>
        <w:t>-201</w:t>
      </w:r>
      <w:r w:rsidR="00B07A53">
        <w:rPr>
          <w:rFonts w:hint="cs"/>
          <w:rtl/>
        </w:rPr>
        <w:t>3</w:t>
      </w:r>
      <w:r>
        <w:rPr>
          <w:rFonts w:hint="cs"/>
          <w:rtl/>
        </w:rPr>
        <w:t xml:space="preserve"> בוצעו עדכונים לעומת חישובי המאזן בשנים הקודמות. עדכונים אלו כוללים עדכונים בהמרת </w:t>
      </w:r>
      <w:proofErr w:type="spellStart"/>
      <w:r>
        <w:rPr>
          <w:rFonts w:hint="cs"/>
          <w:rtl/>
        </w:rPr>
        <w:t>הדלקים</w:t>
      </w:r>
      <w:proofErr w:type="spellEnd"/>
      <w:r>
        <w:rPr>
          <w:rFonts w:hint="cs"/>
          <w:rtl/>
        </w:rPr>
        <w:t xml:space="preserve"> לערכים </w:t>
      </w:r>
      <w:proofErr w:type="spellStart"/>
      <w:r>
        <w:rPr>
          <w:rFonts w:hint="cs"/>
          <w:rtl/>
        </w:rPr>
        <w:t>אנרגטים</w:t>
      </w:r>
      <w:proofErr w:type="spellEnd"/>
      <w:r>
        <w:rPr>
          <w:rFonts w:hint="cs"/>
          <w:rtl/>
        </w:rPr>
        <w:t>, עדכון מקורות הנתונים וסיווגם באופן שונה במאזן.</w:t>
      </w:r>
    </w:p>
    <w:p w:rsidR="003457B7" w:rsidRPr="00BD1EDC" w:rsidRDefault="003457B7" w:rsidP="00703DE4">
      <w:pPr>
        <w:pStyle w:val="3"/>
        <w:rPr>
          <w:rtl/>
        </w:rPr>
      </w:pPr>
      <w:r w:rsidRPr="00BD1EDC">
        <w:rPr>
          <w:rtl/>
        </w:rPr>
        <w:t>הגדרות</w:t>
      </w:r>
    </w:p>
    <w:p w:rsidR="00DF23FD" w:rsidRPr="00BD1EDC" w:rsidRDefault="00DF23FD" w:rsidP="00B07A53">
      <w:pPr>
        <w:rPr>
          <w:rtl/>
        </w:rPr>
      </w:pPr>
      <w:r w:rsidRPr="00BD1EDC">
        <w:rPr>
          <w:b/>
          <w:bCs/>
          <w:rtl/>
        </w:rPr>
        <w:t>מאזן האנרגיה</w:t>
      </w:r>
      <w:r w:rsidRPr="00BD1EDC">
        <w:rPr>
          <w:rtl/>
        </w:rPr>
        <w:t xml:space="preserve"> - מערכת נתונים המציגה את מקורות האנרגיה ואת שימושיה ואת קשרי הגומלין בתוך משק האנרגיה. הנתונים מוצגים לפי המתכונת הכללית של מאזני האנרגיה המתפרסמים על ידי </w:t>
      </w:r>
      <w:r w:rsidR="00B07A53">
        <w:rPr>
          <w:rFonts w:hint="cs"/>
          <w:rtl/>
        </w:rPr>
        <w:t>ה-</w:t>
      </w:r>
      <w:r w:rsidRPr="00BD1EDC">
        <w:t>OECD</w:t>
      </w:r>
      <w:r w:rsidRPr="00BD1EDC">
        <w:rPr>
          <w:rtl/>
        </w:rPr>
        <w:t xml:space="preserve">, תוך התאמה לתנאים המיוחדים של ישראל. </w:t>
      </w:r>
    </w:p>
    <w:p w:rsidR="00C668AA" w:rsidRPr="00BD1EDC" w:rsidRDefault="00C668AA" w:rsidP="00B07A53">
      <w:pPr>
        <w:rPr>
          <w:rtl/>
        </w:rPr>
      </w:pPr>
      <w:r w:rsidRPr="00BD1EDC">
        <w:rPr>
          <w:b/>
          <w:bCs/>
          <w:rtl/>
        </w:rPr>
        <w:t>אספקת אנרגיה ראשונית</w:t>
      </w:r>
      <w:r w:rsidRPr="00BD1EDC">
        <w:rPr>
          <w:rtl/>
        </w:rPr>
        <w:t xml:space="preserve"> - האנרגיה שעמדה לרשות המשק בתקופת הדיווח </w:t>
      </w:r>
      <w:r w:rsidR="00B07A53">
        <w:rPr>
          <w:rFonts w:hint="cs"/>
          <w:rtl/>
        </w:rPr>
        <w:t xml:space="preserve">הכוללת: </w:t>
      </w:r>
      <w:r w:rsidRPr="00BD1EDC">
        <w:rPr>
          <w:rtl/>
        </w:rPr>
        <w:t>הפקה מקומית, יבוא, יצוא, תדלוק א</w:t>
      </w:r>
      <w:r w:rsidR="00B07A53">
        <w:rPr>
          <w:rFonts w:hint="cs"/>
          <w:rtl/>
        </w:rPr>
        <w:t>ו</w:t>
      </w:r>
      <w:r w:rsidRPr="00BD1EDC">
        <w:rPr>
          <w:rtl/>
        </w:rPr>
        <w:t>ניות ושינוי במלאי. נתוני יצוא אנרגיה או תדלוק א</w:t>
      </w:r>
      <w:r w:rsidR="00B07A53">
        <w:rPr>
          <w:rFonts w:hint="cs"/>
          <w:rtl/>
        </w:rPr>
        <w:t>ו</w:t>
      </w:r>
      <w:r w:rsidRPr="00BD1EDC">
        <w:rPr>
          <w:rtl/>
        </w:rPr>
        <w:t>ניות נגרעים מסך האנרגיה העומדת לרשות המשק ועל כן נרשמים בסימן שלילי.</w:t>
      </w:r>
    </w:p>
    <w:p w:rsidR="00AE3213" w:rsidRPr="00BD1EDC" w:rsidRDefault="00AE3213" w:rsidP="000274A2">
      <w:pPr>
        <w:rPr>
          <w:rtl/>
        </w:rPr>
      </w:pPr>
      <w:r w:rsidRPr="00BD1EDC">
        <w:rPr>
          <w:b/>
          <w:bCs/>
          <w:rtl/>
        </w:rPr>
        <w:t>צריכה סופית של אנרגיה</w:t>
      </w:r>
      <w:r w:rsidRPr="00BD1EDC">
        <w:rPr>
          <w:rtl/>
        </w:rPr>
        <w:t xml:space="preserve"> - מייצגת את השימוש שנעשה באנרגיה בתוך המשק, למעט שימוש על ידי יצרני האנרגיה (כמו בתי הזיקוק או חברת החשמל). בסעיפי זיקוק הנפט וייצור החשמל, נתון בעל סימן שלילי מתייחס לתשומה ונתון בעל סימן חיובי מתייחס לתפוקה. </w:t>
      </w:r>
    </w:p>
    <w:p w:rsidR="00AE3213" w:rsidRPr="00BD1EDC" w:rsidRDefault="00AE3213" w:rsidP="000274A2">
      <w:pPr>
        <w:rPr>
          <w:rtl/>
        </w:rPr>
      </w:pPr>
      <w:r w:rsidRPr="00BD1EDC">
        <w:rPr>
          <w:b/>
          <w:bCs/>
          <w:rtl/>
        </w:rPr>
        <w:t>יחס אנרגיה</w:t>
      </w:r>
      <w:r w:rsidRPr="00BD1EDC">
        <w:rPr>
          <w:rtl/>
        </w:rPr>
        <w:t xml:space="preserve"> - היחס בין אספקת האנרגיה הראשונית (באלפי </w:t>
      </w:r>
      <w:proofErr w:type="spellStart"/>
      <w:r w:rsidRPr="00BD1EDC">
        <w:rPr>
          <w:rtl/>
        </w:rPr>
        <w:t>שעט"ן</w:t>
      </w:r>
      <w:proofErr w:type="spellEnd"/>
      <w:r w:rsidRPr="00BD1EDC">
        <w:rPr>
          <w:rtl/>
        </w:rPr>
        <w:t xml:space="preserve">) לבין התוצר המקומי הגולמי במיליוני ש"ח קבועים (של שנת </w:t>
      </w:r>
      <w:r w:rsidR="00CC2AC5" w:rsidRPr="00BD1EDC">
        <w:rPr>
          <w:rtl/>
        </w:rPr>
        <w:t>2015</w:t>
      </w:r>
      <w:r w:rsidRPr="00BD1EDC">
        <w:rPr>
          <w:rtl/>
        </w:rPr>
        <w:t xml:space="preserve">). יחס זה מצביע על יעילות ניצול האנרגיה ביחס לתמ"ג וככל שהיחס נמוך יותר, כך יעילות ניצול האנרגיה גבוהה יותר. </w:t>
      </w:r>
    </w:p>
    <w:p w:rsidR="000E0A80" w:rsidRPr="00BD1EDC" w:rsidRDefault="000E0A80" w:rsidP="000274A2">
      <w:pPr>
        <w:rPr>
          <w:rtl/>
        </w:rPr>
      </w:pPr>
      <w:r w:rsidRPr="00BD1EDC">
        <w:rPr>
          <w:b/>
          <w:bCs/>
          <w:rtl/>
        </w:rPr>
        <w:t>התמרת אנרגיה</w:t>
      </w:r>
      <w:r w:rsidRPr="00BD1EDC">
        <w:rPr>
          <w:rtl/>
        </w:rPr>
        <w:t xml:space="preserve"> - תהליך השינוי של אנרגיה ראשונית לאנרגיה שניונית או יותר.</w:t>
      </w:r>
      <w:r w:rsidR="005C58F6" w:rsidRPr="00BD1EDC">
        <w:rPr>
          <w:rtl/>
        </w:rPr>
        <w:t xml:space="preserve"> לדוגמה, שרפת פחם או גז טבעי לייצור חשמל בתחנות הכוח.</w:t>
      </w:r>
    </w:p>
    <w:p w:rsidR="00C162CC" w:rsidRPr="00BD1EDC" w:rsidRDefault="00C162CC" w:rsidP="000274A2">
      <w:pPr>
        <w:rPr>
          <w:rtl/>
        </w:rPr>
      </w:pPr>
      <w:r w:rsidRPr="00BD1EDC">
        <w:rPr>
          <w:b/>
          <w:bCs/>
          <w:rtl/>
        </w:rPr>
        <w:t>אנרגיה מתחדשת</w:t>
      </w:r>
      <w:r w:rsidRPr="00BD1EDC">
        <w:rPr>
          <w:rtl/>
        </w:rPr>
        <w:t xml:space="preserve"> - אנרגיה שמקורה ממקורות שאינם מתכלים כגון אנרגיה סולרית, רוח, מים והפקת אנרגיה מתהליכים ביולוגים (</w:t>
      </w:r>
      <w:proofErr w:type="spellStart"/>
      <w:r w:rsidRPr="00BD1EDC">
        <w:rPr>
          <w:rtl/>
        </w:rPr>
        <w:t>ביוגז</w:t>
      </w:r>
      <w:proofErr w:type="spellEnd"/>
      <w:r w:rsidRPr="00BD1EDC">
        <w:rPr>
          <w:rtl/>
        </w:rPr>
        <w:t xml:space="preserve">). </w:t>
      </w:r>
    </w:p>
    <w:p w:rsidR="00E879D8" w:rsidRPr="00BD1EDC" w:rsidRDefault="008E45DE" w:rsidP="00B07A53">
      <w:pPr>
        <w:rPr>
          <w:rtl/>
        </w:rPr>
      </w:pPr>
      <w:r w:rsidRPr="00BD1EDC">
        <w:rPr>
          <w:b/>
          <w:bCs/>
          <w:rtl/>
        </w:rPr>
        <w:t>דלק מאוב</w:t>
      </w:r>
      <w:r w:rsidR="000C10D6" w:rsidRPr="00BD1EDC">
        <w:rPr>
          <w:b/>
          <w:bCs/>
          <w:rtl/>
        </w:rPr>
        <w:t>נים</w:t>
      </w:r>
      <w:r w:rsidRPr="00BD1EDC">
        <w:rPr>
          <w:b/>
          <w:bCs/>
          <w:rtl/>
        </w:rPr>
        <w:t xml:space="preserve"> (דלק </w:t>
      </w:r>
      <w:proofErr w:type="spellStart"/>
      <w:r w:rsidRPr="00BD1EDC">
        <w:rPr>
          <w:b/>
          <w:bCs/>
          <w:rtl/>
        </w:rPr>
        <w:t>פוסילי</w:t>
      </w:r>
      <w:proofErr w:type="spellEnd"/>
      <w:r w:rsidRPr="00BD1EDC">
        <w:rPr>
          <w:b/>
          <w:bCs/>
          <w:rtl/>
        </w:rPr>
        <w:t>)</w:t>
      </w:r>
      <w:r w:rsidR="00130C16" w:rsidRPr="00BD1EDC">
        <w:rPr>
          <w:rtl/>
        </w:rPr>
        <w:t xml:space="preserve"> - </w:t>
      </w:r>
      <w:r w:rsidR="0030503C" w:rsidRPr="00BD1EDC">
        <w:rPr>
          <w:rtl/>
        </w:rPr>
        <w:t>דלק הנוצר מהתאבנות של אורגניזמים</w:t>
      </w:r>
      <w:r w:rsidR="00F30919" w:rsidRPr="00BD1EDC">
        <w:rPr>
          <w:rtl/>
        </w:rPr>
        <w:t xml:space="preserve"> במשך</w:t>
      </w:r>
      <w:r w:rsidR="0030503C" w:rsidRPr="00BD1EDC">
        <w:rPr>
          <w:rtl/>
        </w:rPr>
        <w:t xml:space="preserve"> מיליוני שנים. דלקי המאובנים שנוצרים הם פחם, נפט וגז טבעי</w:t>
      </w:r>
      <w:r w:rsidR="00E879D8" w:rsidRPr="00BD1EDC">
        <w:rPr>
          <w:rtl/>
        </w:rPr>
        <w:t>.</w:t>
      </w:r>
      <w:r w:rsidR="0030503C" w:rsidRPr="00BD1EDC">
        <w:rPr>
          <w:rtl/>
        </w:rPr>
        <w:t xml:space="preserve"> </w:t>
      </w:r>
    </w:p>
    <w:p w:rsidR="00BE1E7A" w:rsidRPr="00BD1EDC" w:rsidRDefault="00965EBF" w:rsidP="00FB132F">
      <w:pPr>
        <w:rPr>
          <w:rtl/>
        </w:rPr>
      </w:pPr>
      <w:r w:rsidRPr="00BD1EDC">
        <w:rPr>
          <w:b/>
          <w:bCs/>
          <w:rtl/>
        </w:rPr>
        <w:t>גפ"מ</w:t>
      </w:r>
      <w:r w:rsidR="000C10D6" w:rsidRPr="00BD1EDC">
        <w:rPr>
          <w:b/>
          <w:bCs/>
          <w:rtl/>
        </w:rPr>
        <w:t xml:space="preserve"> (גז פחמימני מעובה), מכונה גם "גז בישול"</w:t>
      </w:r>
      <w:r w:rsidR="000C10D6" w:rsidRPr="00BD1EDC">
        <w:rPr>
          <w:rtl/>
        </w:rPr>
        <w:t xml:space="preserve"> </w:t>
      </w:r>
      <w:r w:rsidR="001D347E" w:rsidRPr="00BD1EDC">
        <w:rPr>
          <w:rtl/>
        </w:rPr>
        <w:t>-</w:t>
      </w:r>
      <w:r w:rsidR="00130C16" w:rsidRPr="00BD1EDC">
        <w:rPr>
          <w:rtl/>
        </w:rPr>
        <w:t xml:space="preserve"> </w:t>
      </w:r>
      <w:proofErr w:type="spellStart"/>
      <w:r w:rsidR="000C10D6" w:rsidRPr="00BD1EDC">
        <w:rPr>
          <w:rtl/>
        </w:rPr>
        <w:t>הגפ"מ</w:t>
      </w:r>
      <w:proofErr w:type="spellEnd"/>
      <w:r w:rsidR="000C10D6" w:rsidRPr="00BD1EDC">
        <w:rPr>
          <w:rtl/>
        </w:rPr>
        <w:t xml:space="preserve"> מופק בתהליך זיקוק של נפט גולמי. במגזר הביתי </w:t>
      </w:r>
      <w:r w:rsidR="006902AA" w:rsidRPr="00BD1EDC">
        <w:rPr>
          <w:rtl/>
        </w:rPr>
        <w:t xml:space="preserve">החקלאי והציבורי </w:t>
      </w:r>
      <w:r w:rsidR="000C10D6" w:rsidRPr="00BD1EDC">
        <w:rPr>
          <w:rtl/>
        </w:rPr>
        <w:t>משמש הגז לבישול ולהסקה</w:t>
      </w:r>
      <w:r w:rsidR="006902AA" w:rsidRPr="00BD1EDC">
        <w:rPr>
          <w:rtl/>
        </w:rPr>
        <w:t>, וב</w:t>
      </w:r>
      <w:r w:rsidR="000C10D6" w:rsidRPr="00BD1EDC">
        <w:rPr>
          <w:rtl/>
        </w:rPr>
        <w:t>מגזר התעשי</w:t>
      </w:r>
      <w:r w:rsidR="00C36583" w:rsidRPr="00BD1EDC">
        <w:rPr>
          <w:rtl/>
        </w:rPr>
        <w:t>י</w:t>
      </w:r>
      <w:r w:rsidR="000C10D6" w:rsidRPr="00BD1EDC">
        <w:rPr>
          <w:rtl/>
        </w:rPr>
        <w:t xml:space="preserve">תי </w:t>
      </w:r>
      <w:r w:rsidR="006902AA" w:rsidRPr="00BD1EDC">
        <w:rPr>
          <w:rtl/>
        </w:rPr>
        <w:t xml:space="preserve">- </w:t>
      </w:r>
      <w:r w:rsidR="000C10D6" w:rsidRPr="00BD1EDC">
        <w:rPr>
          <w:rtl/>
        </w:rPr>
        <w:t xml:space="preserve">לתהליכים תעשייתיים שונים. </w:t>
      </w:r>
      <w:proofErr w:type="spellStart"/>
      <w:r w:rsidR="000C10D6" w:rsidRPr="00BD1EDC">
        <w:rPr>
          <w:rtl/>
        </w:rPr>
        <w:t>ה</w:t>
      </w:r>
      <w:r w:rsidR="00C36583" w:rsidRPr="00BD1EDC">
        <w:rPr>
          <w:rtl/>
        </w:rPr>
        <w:t>גפ"מ</w:t>
      </w:r>
      <w:proofErr w:type="spellEnd"/>
      <w:r w:rsidR="00C36583" w:rsidRPr="00BD1EDC">
        <w:rPr>
          <w:rtl/>
        </w:rPr>
        <w:t xml:space="preserve"> מורכב</w:t>
      </w:r>
      <w:r w:rsidR="000C10D6" w:rsidRPr="00BD1EDC">
        <w:rPr>
          <w:rtl/>
        </w:rPr>
        <w:t xml:space="preserve"> </w:t>
      </w:r>
      <w:r w:rsidR="00C36583" w:rsidRPr="00BD1EDC">
        <w:rPr>
          <w:rtl/>
        </w:rPr>
        <w:t>מ</w:t>
      </w:r>
      <w:r w:rsidR="000C10D6" w:rsidRPr="00BD1EDC">
        <w:rPr>
          <w:rtl/>
        </w:rPr>
        <w:t xml:space="preserve">תערובת של גזים פחמימניים, בעיקר </w:t>
      </w:r>
      <w:r w:rsidR="00C36583" w:rsidRPr="00BD1EDC">
        <w:rPr>
          <w:rtl/>
        </w:rPr>
        <w:t>בוטן</w:t>
      </w:r>
      <w:r w:rsidR="001D347E" w:rsidRPr="00BD1EDC">
        <w:rPr>
          <w:rtl/>
        </w:rPr>
        <w:t xml:space="preserve"> </w:t>
      </w:r>
      <w:r w:rsidR="00C36583" w:rsidRPr="00BD1EDC">
        <w:rPr>
          <w:rtl/>
        </w:rPr>
        <w:t xml:space="preserve">(כ-80%) </w:t>
      </w:r>
      <w:proofErr w:type="spellStart"/>
      <w:r w:rsidR="00C36583" w:rsidRPr="00BD1EDC">
        <w:rPr>
          <w:rtl/>
        </w:rPr>
        <w:t>ו</w:t>
      </w:r>
      <w:r w:rsidR="000C10D6" w:rsidRPr="00BD1EDC">
        <w:rPr>
          <w:rtl/>
        </w:rPr>
        <w:t>פרופן</w:t>
      </w:r>
      <w:proofErr w:type="spellEnd"/>
      <w:r w:rsidR="000C10D6" w:rsidRPr="00BD1EDC">
        <w:rPr>
          <w:rtl/>
        </w:rPr>
        <w:t xml:space="preserve"> (כ-</w:t>
      </w:r>
      <w:r w:rsidR="006902AA" w:rsidRPr="00BD1EDC">
        <w:rPr>
          <w:rtl/>
        </w:rPr>
        <w:t>20%)</w:t>
      </w:r>
      <w:r w:rsidR="000C10D6" w:rsidRPr="00BD1EDC">
        <w:rPr>
          <w:rtl/>
        </w:rPr>
        <w:t>.</w:t>
      </w:r>
      <w:r w:rsidR="00BE1E7A" w:rsidRPr="00BD1EDC">
        <w:rPr>
          <w:rtl/>
        </w:rPr>
        <w:t xml:space="preserve"> </w:t>
      </w:r>
    </w:p>
    <w:p w:rsidR="00BE1E7A" w:rsidRPr="00BD1EDC" w:rsidRDefault="000C10D6" w:rsidP="00FB132F">
      <w:pPr>
        <w:rPr>
          <w:rtl/>
        </w:rPr>
      </w:pPr>
      <w:r w:rsidRPr="00BD1EDC">
        <w:rPr>
          <w:b/>
          <w:bCs/>
          <w:rtl/>
        </w:rPr>
        <w:t xml:space="preserve">גז טבעי </w:t>
      </w:r>
      <w:r w:rsidR="001D347E" w:rsidRPr="00BD1EDC">
        <w:rPr>
          <w:b/>
          <w:bCs/>
          <w:rtl/>
        </w:rPr>
        <w:t>-</w:t>
      </w:r>
      <w:r w:rsidR="00B33302" w:rsidRPr="00BD1EDC">
        <w:rPr>
          <w:rtl/>
        </w:rPr>
        <w:t xml:space="preserve"> </w:t>
      </w:r>
      <w:r w:rsidR="00BE1E7A" w:rsidRPr="00BD1EDC">
        <w:rPr>
          <w:rtl/>
        </w:rPr>
        <w:t>מקור אנרגיה שמקורו בדלק מאובנים ונמצא במאגרים בבטן האדמה</w:t>
      </w:r>
      <w:r w:rsidR="006902AA" w:rsidRPr="00BD1EDC">
        <w:rPr>
          <w:rtl/>
        </w:rPr>
        <w:t xml:space="preserve"> (בשונה מגפ"מ שהוא תוצר של זיקוק נפט)</w:t>
      </w:r>
      <w:r w:rsidR="00BE1E7A" w:rsidRPr="00BD1EDC">
        <w:rPr>
          <w:rtl/>
        </w:rPr>
        <w:t>. הוא מורכב בעיקר מגז מתאן.</w:t>
      </w:r>
      <w:r w:rsidR="00C13506" w:rsidRPr="00BD1EDC">
        <w:rPr>
          <w:rtl/>
        </w:rPr>
        <w:t xml:space="preserve"> </w:t>
      </w:r>
    </w:p>
    <w:p w:rsidR="00337559" w:rsidRDefault="0044399B" w:rsidP="00337559">
      <w:pPr>
        <w:rPr>
          <w:bCs/>
          <w:szCs w:val="26"/>
          <w:rtl/>
        </w:rPr>
      </w:pPr>
      <w:r w:rsidRPr="00BD1EDC">
        <w:rPr>
          <w:b/>
          <w:bCs/>
          <w:rtl/>
        </w:rPr>
        <w:t>נפטא</w:t>
      </w:r>
      <w:r w:rsidR="005C4746" w:rsidRPr="00BD1EDC">
        <w:rPr>
          <w:rtl/>
        </w:rPr>
        <w:t xml:space="preserve"> </w:t>
      </w:r>
      <w:r w:rsidR="001D347E" w:rsidRPr="00BD1EDC">
        <w:rPr>
          <w:rtl/>
        </w:rPr>
        <w:t>-</w:t>
      </w:r>
      <w:r w:rsidR="00130C16" w:rsidRPr="00BD1EDC">
        <w:rPr>
          <w:rtl/>
        </w:rPr>
        <w:t xml:space="preserve"> </w:t>
      </w:r>
      <w:r w:rsidR="005C4746" w:rsidRPr="00BD1EDC">
        <w:rPr>
          <w:rtl/>
        </w:rPr>
        <w:t xml:space="preserve">תזקיק נפט המשמש כחומר גלם ליצור </w:t>
      </w:r>
      <w:r w:rsidR="00C36583" w:rsidRPr="00BD1EDC">
        <w:rPr>
          <w:rtl/>
        </w:rPr>
        <w:t xml:space="preserve">מוצרי פלסטיק, צבעים, תוספי דלק וכן </w:t>
      </w:r>
      <w:r w:rsidR="005C4746" w:rsidRPr="00BD1EDC">
        <w:rPr>
          <w:rtl/>
        </w:rPr>
        <w:t>בתעשי</w:t>
      </w:r>
      <w:r w:rsidR="00C36583" w:rsidRPr="00BD1EDC">
        <w:rPr>
          <w:rtl/>
        </w:rPr>
        <w:t>י</w:t>
      </w:r>
      <w:r w:rsidR="005C4746" w:rsidRPr="00BD1EDC">
        <w:rPr>
          <w:rtl/>
        </w:rPr>
        <w:t>ה הכימית והביולוגית.</w:t>
      </w:r>
      <w:r w:rsidR="00337559">
        <w:rPr>
          <w:rtl/>
        </w:rPr>
        <w:br w:type="page"/>
      </w:r>
    </w:p>
    <w:p w:rsidR="00503139" w:rsidRPr="00BD1EDC" w:rsidRDefault="00EB5FBB" w:rsidP="00703DE4">
      <w:pPr>
        <w:pStyle w:val="3"/>
        <w:rPr>
          <w:rtl/>
        </w:rPr>
      </w:pPr>
      <w:r w:rsidRPr="00BD1EDC">
        <w:rPr>
          <w:rtl/>
        </w:rPr>
        <w:lastRenderedPageBreak/>
        <w:t>יחידת המידה</w:t>
      </w:r>
    </w:p>
    <w:p w:rsidR="00EB5FBB" w:rsidRPr="00BD1EDC" w:rsidRDefault="00EB5FBB" w:rsidP="000274A2">
      <w:pPr>
        <w:rPr>
          <w:rtl/>
        </w:rPr>
      </w:pPr>
      <w:r w:rsidRPr="00BD1EDC">
        <w:rPr>
          <w:rtl/>
        </w:rPr>
        <w:t xml:space="preserve">לסוגים השונים של מקורות האנרגיה (דלק גולמי, גז, חשמל, פחם וכו'), יחידות מידה שונות (מטר מעוקב, קילוואט וכו'), ולכן נוצר הצורך ביחידת מידה אחידה לכל מוצרי האנרגיה. כפי שמקובל ברוב מדינות העולם, תורגמו ערכי מוצרי </w:t>
      </w:r>
      <w:r w:rsidR="008F301F" w:rsidRPr="00BD1EDC">
        <w:rPr>
          <w:rtl/>
        </w:rPr>
        <w:t>הנפט</w:t>
      </w:r>
      <w:r w:rsidR="00090DAB" w:rsidRPr="00BD1EDC">
        <w:rPr>
          <w:rtl/>
        </w:rPr>
        <w:t xml:space="preserve"> </w:t>
      </w:r>
      <w:r w:rsidRPr="00BD1EDC">
        <w:rPr>
          <w:rtl/>
        </w:rPr>
        <w:t>השונים במאזן ליחידה הנק</w:t>
      </w:r>
      <w:r w:rsidR="00B07A53">
        <w:rPr>
          <w:rtl/>
        </w:rPr>
        <w:t xml:space="preserve">ראת </w:t>
      </w:r>
      <w:proofErr w:type="spellStart"/>
      <w:r w:rsidR="00B07A53">
        <w:rPr>
          <w:rtl/>
        </w:rPr>
        <w:t>שעט"ן</w:t>
      </w:r>
      <w:proofErr w:type="spellEnd"/>
      <w:r w:rsidR="00B07A53">
        <w:rPr>
          <w:rtl/>
        </w:rPr>
        <w:t xml:space="preserve"> - "שווה ערך לטון נפט"</w:t>
      </w:r>
      <w:r w:rsidRPr="00BD1EDC">
        <w:rPr>
          <w:rtl/>
        </w:rPr>
        <w:t xml:space="preserve"> המוג</w:t>
      </w:r>
      <w:r w:rsidR="00790DCB" w:rsidRPr="00BD1EDC">
        <w:rPr>
          <w:rtl/>
        </w:rPr>
        <w:t xml:space="preserve">דרת כאותה כמות המספקת בשרפתה </w:t>
      </w:r>
      <w:r w:rsidR="00790DCB" w:rsidRPr="00BD1EDC">
        <w:t>10^7</w:t>
      </w:r>
      <w:r w:rsidRPr="00BD1EDC">
        <w:rPr>
          <w:rtl/>
        </w:rPr>
        <w:t xml:space="preserve"> קילו קלוריות</w:t>
      </w:r>
      <w:r w:rsidR="00B07A53" w:rsidRPr="00B07A53">
        <w:rPr>
          <w:rFonts w:hint="cs"/>
          <w:rtl/>
        </w:rPr>
        <w:t>.</w:t>
      </w:r>
      <w:r w:rsidRPr="00BD1EDC">
        <w:rPr>
          <w:vertAlign w:val="superscript"/>
        </w:rPr>
        <w:footnoteReference w:id="1"/>
      </w:r>
    </w:p>
    <w:p w:rsidR="00EB5FBB" w:rsidRPr="00BD1EDC" w:rsidRDefault="00EB5FBB" w:rsidP="00703DE4">
      <w:pPr>
        <w:pStyle w:val="3"/>
        <w:rPr>
          <w:rtl/>
        </w:rPr>
      </w:pPr>
      <w:r w:rsidRPr="00BD1EDC">
        <w:rPr>
          <w:rtl/>
        </w:rPr>
        <w:t>מקורות הנתונים</w:t>
      </w:r>
    </w:p>
    <w:p w:rsidR="00EB5FBB" w:rsidRPr="00BD1EDC" w:rsidRDefault="00EB5FBB" w:rsidP="000274A2">
      <w:pPr>
        <w:rPr>
          <w:rtl/>
        </w:rPr>
      </w:pPr>
      <w:r w:rsidRPr="00BD1EDC">
        <w:rPr>
          <w:rtl/>
        </w:rPr>
        <w:t xml:space="preserve">נתונים על דלק גולמי ומוצריו: מינהל הדלק, משרד התשתיות הלאומיות, בתי הזיקוק, יבואנים ויצואנים של דלק גולמי </w:t>
      </w:r>
      <w:r w:rsidR="00F3782C" w:rsidRPr="00BD1EDC">
        <w:rPr>
          <w:rtl/>
        </w:rPr>
        <w:t>ומוצריו</w:t>
      </w:r>
      <w:r w:rsidR="00786AAA" w:rsidRPr="00BD1EDC">
        <w:rPr>
          <w:rtl/>
        </w:rPr>
        <w:t>, מכס</w:t>
      </w:r>
      <w:r w:rsidRPr="00BD1EDC">
        <w:rPr>
          <w:rtl/>
        </w:rPr>
        <w:t>.</w:t>
      </w:r>
    </w:p>
    <w:p w:rsidR="00793B82" w:rsidRPr="00A84742" w:rsidRDefault="00EB5FBB" w:rsidP="000274A2">
      <w:pPr>
        <w:rPr>
          <w:rtl/>
        </w:rPr>
      </w:pPr>
      <w:r w:rsidRPr="00BD1EDC">
        <w:rPr>
          <w:rtl/>
        </w:rPr>
        <w:t xml:space="preserve">נתונים על חשמל: חברת החשמל בישראל, יצרני חשמל </w:t>
      </w:r>
      <w:r w:rsidR="00DA7687" w:rsidRPr="00BD1EDC">
        <w:rPr>
          <w:rtl/>
        </w:rPr>
        <w:t xml:space="preserve">פרטיים </w:t>
      </w:r>
      <w:r w:rsidR="00F3782C" w:rsidRPr="00BD1EDC">
        <w:rPr>
          <w:rtl/>
        </w:rPr>
        <w:t>המייצרים</w:t>
      </w:r>
      <w:r w:rsidR="00DA7687" w:rsidRPr="00BD1EDC">
        <w:rPr>
          <w:rtl/>
        </w:rPr>
        <w:t xml:space="preserve"> חשמל מאנרגיה </w:t>
      </w:r>
      <w:proofErr w:type="spellStart"/>
      <w:r w:rsidR="00DA7687" w:rsidRPr="00BD1EDC">
        <w:rPr>
          <w:rtl/>
        </w:rPr>
        <w:t>פוסילית</w:t>
      </w:r>
      <w:proofErr w:type="spellEnd"/>
      <w:r w:rsidR="00DA7687" w:rsidRPr="00BD1EDC">
        <w:rPr>
          <w:rtl/>
        </w:rPr>
        <w:t xml:space="preserve"> ומאנרגיה </w:t>
      </w:r>
      <w:r w:rsidR="00DA7687" w:rsidRPr="00A84742">
        <w:rPr>
          <w:rtl/>
        </w:rPr>
        <w:t>מתחדשת</w:t>
      </w:r>
      <w:r w:rsidRPr="00A84742">
        <w:rPr>
          <w:rtl/>
        </w:rPr>
        <w:t>.</w:t>
      </w:r>
    </w:p>
    <w:sectPr w:rsidR="00793B82" w:rsidRPr="00A84742" w:rsidSect="00EE5857">
      <w:footerReference w:type="even" r:id="rId19"/>
      <w:footerReference w:type="default" r:id="rId20"/>
      <w:headerReference w:type="first" r:id="rId21"/>
      <w:footerReference w:type="first" r:id="rId22"/>
      <w:pgSz w:w="11906" w:h="16838"/>
      <w:pgMar w:top="1134" w:right="748" w:bottom="1134" w:left="107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22" w:rsidRDefault="00520122" w:rsidP="00C023A7">
      <w:r>
        <w:separator/>
      </w:r>
    </w:p>
  </w:endnote>
  <w:endnote w:type="continuationSeparator" w:id="0">
    <w:p w:rsidR="00520122" w:rsidRDefault="00520122" w:rsidP="00C0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Guttman Hatzv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E8" w:rsidRDefault="00EC06E8" w:rsidP="00C023A7">
    <w:pPr>
      <w:pStyle w:val="a6"/>
      <w:rPr>
        <w:rStyle w:val="af"/>
        <w:rtl/>
      </w:rPr>
    </w:pPr>
    <w:r>
      <w:rPr>
        <w:rStyle w:val="af"/>
        <w:rtl/>
      </w:rPr>
      <w:fldChar w:fldCharType="begin"/>
    </w:r>
    <w:r>
      <w:rPr>
        <w:rStyle w:val="af"/>
      </w:rPr>
      <w:instrText xml:space="preserve">PAGE  </w:instrText>
    </w:r>
    <w:r>
      <w:rPr>
        <w:rStyle w:val="af"/>
        <w:rtl/>
      </w:rPr>
      <w:fldChar w:fldCharType="end"/>
    </w:r>
  </w:p>
  <w:p w:rsidR="00EC06E8" w:rsidRDefault="00EC06E8" w:rsidP="00C023A7">
    <w:pPr>
      <w:pStyle w:val="a6"/>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5773563"/>
      <w:docPartObj>
        <w:docPartGallery w:val="Page Numbers (Bottom of Page)"/>
        <w:docPartUnique/>
      </w:docPartObj>
    </w:sdtPr>
    <w:sdtEndPr/>
    <w:sdtContent>
      <w:p w:rsidR="00EC06E8" w:rsidRDefault="00EC06E8" w:rsidP="000B3F62">
        <w:pPr>
          <w:pStyle w:val="a6"/>
          <w:jc w:val="right"/>
        </w:pPr>
        <w:r>
          <w:fldChar w:fldCharType="begin"/>
        </w:r>
        <w:r>
          <w:instrText xml:space="preserve"> PAGE   \* MERGEFORMAT </w:instrText>
        </w:r>
        <w:r>
          <w:fldChar w:fldCharType="separate"/>
        </w:r>
        <w:r w:rsidR="007C7B54">
          <w:rPr>
            <w:noProof/>
            <w:rtl/>
          </w:rPr>
          <w:t>2</w:t>
        </w:r>
        <w:r>
          <w:rPr>
            <w:noProof/>
          </w:rPr>
          <w:fldChar w:fldCharType="end"/>
        </w:r>
      </w:p>
    </w:sdtContent>
  </w:sdt>
  <w:p w:rsidR="00EC06E8" w:rsidRDefault="00EC06E8" w:rsidP="000B3F62">
    <w:pPr>
      <w:pStyle w:val="a6"/>
    </w:pPr>
    <w:r w:rsidRPr="00AE1584">
      <w:rPr>
        <w:rtl/>
      </w:rPr>
      <w:t>מאזן האנרגיה של ישראל</w:t>
    </w:r>
    <w:r w:rsidRPr="00AE1584">
      <w:rPr>
        <w:rFonts w:hint="cs"/>
        <w:rtl/>
      </w:rPr>
      <w:t>, 201</w:t>
    </w:r>
    <w:r>
      <w:rPr>
        <w:rFonts w:hint="cs"/>
        <w:rtl/>
      </w:rPr>
      <w:t xml:space="preserve">8 </w:t>
    </w:r>
    <w:r>
      <w:rPr>
        <w:rtl/>
      </w:rPr>
      <w:br/>
    </w:r>
    <w:r>
      <w:rPr>
        <w:rFonts w:hint="cs"/>
        <w:rtl/>
      </w:rPr>
      <w:t>06</w:t>
    </w:r>
    <w:r w:rsidRPr="00AE1584">
      <w:rPr>
        <w:rFonts w:hint="cs"/>
        <w:rtl/>
      </w:rPr>
      <w:t>/0</w:t>
    </w:r>
    <w:r>
      <w:rPr>
        <w:rFonts w:hint="cs"/>
        <w:rtl/>
      </w:rPr>
      <w:t>1</w:t>
    </w:r>
    <w:r w:rsidRPr="00AE1584">
      <w:rPr>
        <w:rFonts w:hint="cs"/>
        <w:rtl/>
      </w:rPr>
      <w:t>/20</w:t>
    </w:r>
    <w:r>
      <w:rPr>
        <w:rFonts w:hint="cs"/>
        <w:rtl/>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E8" w:rsidRPr="00EB3692" w:rsidRDefault="00EC06E8" w:rsidP="00A844F0">
    <w:pPr>
      <w:pStyle w:val="a6"/>
      <w:pBdr>
        <w:top w:val="single" w:sz="4" w:space="1" w:color="auto"/>
        <w:left w:val="single" w:sz="4" w:space="4" w:color="auto"/>
        <w:bottom w:val="single" w:sz="4" w:space="1" w:color="auto"/>
        <w:right w:val="single" w:sz="4" w:space="4" w:color="auto"/>
      </w:pBdr>
      <w:jc w:val="center"/>
      <w:rPr>
        <w:b/>
        <w:bCs/>
        <w:rtl/>
      </w:rPr>
    </w:pPr>
    <w:r w:rsidRPr="00EB3692">
      <w:rPr>
        <w:b/>
        <w:bCs/>
        <w:rtl/>
      </w:rPr>
      <w:t xml:space="preserve">כתבו ליאור ישעיהו </w:t>
    </w:r>
    <w:r w:rsidRPr="00EB3692">
      <w:rPr>
        <w:rFonts w:hint="cs"/>
        <w:b/>
        <w:bCs/>
        <w:rtl/>
      </w:rPr>
      <w:t>ו</w:t>
    </w:r>
    <w:r w:rsidRPr="00EB3692">
      <w:rPr>
        <w:b/>
        <w:bCs/>
        <w:rtl/>
      </w:rPr>
      <w:t>אורנה סטמקר-כהן</w:t>
    </w:r>
    <w:r w:rsidRPr="00EB3692">
      <w:rPr>
        <w:rFonts w:hint="cs"/>
        <w:b/>
        <w:bCs/>
        <w:rtl/>
      </w:rPr>
      <w:t xml:space="preserve">, </w:t>
    </w:r>
    <w:r w:rsidRPr="00EB3692">
      <w:rPr>
        <w:b/>
        <w:bCs/>
        <w:rtl/>
      </w:rPr>
      <w:t>תחום חקלאות, סביבה ואנרגיה</w:t>
    </w:r>
  </w:p>
  <w:p w:rsidR="00EC06E8" w:rsidRPr="00EB3692" w:rsidRDefault="00D833B2" w:rsidP="00D833B2">
    <w:pPr>
      <w:pStyle w:val="a6"/>
      <w:pBdr>
        <w:top w:val="single" w:sz="4" w:space="1" w:color="auto"/>
        <w:left w:val="single" w:sz="4" w:space="4" w:color="auto"/>
        <w:bottom w:val="single" w:sz="4" w:space="1" w:color="auto"/>
        <w:right w:val="single" w:sz="4" w:space="4" w:color="auto"/>
      </w:pBdr>
      <w:jc w:val="center"/>
      <w:rPr>
        <w:b/>
        <w:bCs/>
        <w:rtl/>
      </w:rPr>
    </w:pPr>
    <w:r w:rsidRPr="00D833B2">
      <w:rPr>
        <w:b/>
        <w:bCs/>
        <w:rtl/>
      </w:rPr>
      <w:t>לקבלת הסברים נא לפנות למרכז למידע סטטיסטי 02-6592666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22" w:rsidRDefault="00520122" w:rsidP="00C023A7">
      <w:r>
        <w:separator/>
      </w:r>
    </w:p>
  </w:footnote>
  <w:footnote w:type="continuationSeparator" w:id="0">
    <w:p w:rsidR="00520122" w:rsidRDefault="00520122" w:rsidP="00C023A7">
      <w:r>
        <w:continuationSeparator/>
      </w:r>
    </w:p>
  </w:footnote>
  <w:footnote w:id="1">
    <w:p w:rsidR="00EC06E8" w:rsidRPr="0009034B" w:rsidRDefault="00EC06E8" w:rsidP="00C023A7">
      <w:pPr>
        <w:rPr>
          <w:b/>
          <w:bCs/>
          <w:rtl/>
        </w:rPr>
      </w:pPr>
      <w:r w:rsidRPr="0009034B">
        <w:rPr>
          <w:rStyle w:val="ad"/>
        </w:rPr>
        <w:footnoteRef/>
      </w:r>
      <w:r w:rsidRPr="0009034B">
        <w:rPr>
          <w:rtl/>
        </w:rPr>
        <w:t xml:space="preserve"> בגישה זו לא נלקח בחשבון, שלא כל סוגי האנרגיה הם חליפיים. דלק גולמי, למשל, אינו יכול לשמש להפעלת מכשירי חשמל ביתיים, ופחם אינו יכול לשמש ברכב מוטורי.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B2" w:rsidRPr="00C51E33" w:rsidRDefault="00D833B2" w:rsidP="00D833B2">
    <w:pPr>
      <w:pStyle w:val="a4"/>
      <w:rPr>
        <w:rtl/>
      </w:rPr>
    </w:pPr>
    <w:r>
      <w:rPr>
        <w:noProof/>
      </w:rPr>
      <w:drawing>
        <wp:inline distT="0" distB="0" distL="0" distR="0" wp14:anchorId="0F4AA246" wp14:editId="3D3FFEC4">
          <wp:extent cx="1140460" cy="1045845"/>
          <wp:effectExtent l="0" t="0" r="2540" b="1905"/>
          <wp:docPr id="3" name="Picture 3"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r>
      <w:rPr>
        <w:rFonts w:hint="cs"/>
        <w:rtl/>
      </w:rPr>
      <w:tab/>
    </w:r>
    <w:r>
      <w:rPr>
        <w:rFonts w:hint="cs"/>
        <w:rtl/>
      </w:rPr>
      <w:tab/>
    </w:r>
    <w:r>
      <w:rPr>
        <w:rFonts w:hint="cs"/>
        <w:rtl/>
      </w:rPr>
      <w:tab/>
    </w:r>
    <w:r w:rsidRPr="00C51E33">
      <w:rPr>
        <w:rtl/>
      </w:rPr>
      <w:t>מדינת ישראל</w:t>
    </w:r>
  </w:p>
  <w:p w:rsidR="00D833B2" w:rsidRPr="00986DCA" w:rsidRDefault="00D833B2" w:rsidP="00D833B2">
    <w:pPr>
      <w:pStyle w:val="a4"/>
      <w:jc w:val="center"/>
      <w:rPr>
        <w:rFonts w:cs="Guttman Hatzvi"/>
        <w:color w:val="000080"/>
        <w:sz w:val="56"/>
        <w:szCs w:val="56"/>
        <w:rtl/>
        <w14:shadow w14:blurRad="50800" w14:dist="38100" w14:dir="2700000" w14:sx="100000" w14:sy="100000" w14:kx="0" w14:ky="0" w14:algn="tl">
          <w14:srgbClr w14:val="000000">
            <w14:alpha w14:val="60000"/>
          </w14:srgbClr>
        </w14:shadow>
      </w:rPr>
    </w:pPr>
    <w:r w:rsidRPr="00986DCA">
      <w:rPr>
        <w:rFonts w:cs="Guttman Hatzvi"/>
        <w:color w:val="000080"/>
        <w:sz w:val="56"/>
        <w:szCs w:val="56"/>
        <w:rtl/>
        <w14:shadow w14:blurRad="50800" w14:dist="38100" w14:dir="2700000" w14:sx="100000" w14:sy="100000" w14:kx="0" w14:ky="0" w14:algn="tl">
          <w14:srgbClr w14:val="000000">
            <w14:alpha w14:val="60000"/>
          </w14:srgbClr>
        </w14:shadow>
      </w:rPr>
      <w:t>הודעה ל</w:t>
    </w:r>
    <w:r w:rsidRPr="00986DCA">
      <w:rPr>
        <w:rFonts w:cs="Guttman Hatzvi" w:hint="cs"/>
        <w:color w:val="000080"/>
        <w:sz w:val="56"/>
        <w:szCs w:val="56"/>
        <w:rtl/>
        <w14:shadow w14:blurRad="50800" w14:dist="38100" w14:dir="2700000" w14:sx="100000" w14:sy="100000" w14:kx="0" w14:ky="0" w14:algn="tl">
          <w14:srgbClr w14:val="000000">
            <w14:alpha w14:val="60000"/>
          </w14:srgbClr>
        </w14:shadow>
      </w:rPr>
      <w:t>תקשור</w:t>
    </w:r>
    <w:r w:rsidRPr="00986DCA">
      <w:rPr>
        <w:rFonts w:cs="Guttman Hatzvi"/>
        <w:color w:val="000080"/>
        <w:sz w:val="56"/>
        <w:szCs w:val="56"/>
        <w:rtl/>
        <w14:shadow w14:blurRad="50800" w14:dist="38100" w14:dir="2700000" w14:sx="100000" w14:sy="100000" w14:kx="0" w14:ky="0" w14:algn="tl">
          <w14:srgbClr w14:val="000000">
            <w14:alpha w14:val="60000"/>
          </w14:srgbClr>
        </w14:shadow>
      </w:rPr>
      <w:t>ת</w:t>
    </w:r>
  </w:p>
  <w:p w:rsidR="00D833B2" w:rsidRPr="00BC3655" w:rsidRDefault="00D833B2" w:rsidP="00D833B2">
    <w:pPr>
      <w:pStyle w:val="a4"/>
      <w:jc w:val="center"/>
      <w:rPr>
        <w:b/>
        <w:bCs/>
        <w:rtl/>
      </w:rPr>
    </w:pPr>
    <w:r w:rsidRPr="00BC3655">
      <w:rPr>
        <w:rFonts w:hint="cs"/>
        <w:rtl/>
      </w:rPr>
      <w:t xml:space="preserve">אתר:  </w:t>
    </w:r>
    <w:hyperlink r:id="rId2" w:history="1">
      <w:r w:rsidRPr="003F1F12">
        <w:rPr>
          <w:rStyle w:val="Hyperlink"/>
        </w:rPr>
        <w:t>www.cbs.gov.il</w:t>
      </w:r>
    </w:hyperlink>
    <w:r w:rsidRPr="00BC3655">
      <w:rPr>
        <w:rFonts w:hint="cs"/>
        <w:rtl/>
      </w:rPr>
      <w:t xml:space="preserve"> </w:t>
    </w:r>
    <w:r>
      <w:rPr>
        <w:rFonts w:hint="cs"/>
        <w:rtl/>
      </w:rPr>
      <w:t xml:space="preserve"> </w:t>
    </w:r>
    <w:r w:rsidRPr="00BC3655">
      <w:rPr>
        <w:rFonts w:hint="cs"/>
        <w:rtl/>
      </w:rPr>
      <w:t xml:space="preserve">דוא"ל: </w:t>
    </w:r>
    <w:r w:rsidRPr="00BC3655">
      <w:t>info@cbs.gov.il</w:t>
    </w:r>
    <w:r w:rsidRPr="00BC3655">
      <w:rPr>
        <w:rFonts w:hint="cs"/>
        <w:rtl/>
      </w:rPr>
      <w:t xml:space="preserve"> </w:t>
    </w:r>
    <w:r>
      <w:rPr>
        <w:rFonts w:hint="cs"/>
        <w:rtl/>
      </w:rPr>
      <w:t xml:space="preserve"> </w:t>
    </w:r>
    <w:r w:rsidRPr="00BC3655">
      <w:rPr>
        <w:rFonts w:hint="cs"/>
        <w:rtl/>
      </w:rPr>
      <w:t>פקס: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1AD"/>
    <w:multiLevelType w:val="hybridMultilevel"/>
    <w:tmpl w:val="A02E9FD4"/>
    <w:lvl w:ilvl="0" w:tplc="76201CA8">
      <w:numFmt w:val="bullet"/>
      <w:lvlText w:val="-"/>
      <w:lvlJc w:val="left"/>
      <w:pPr>
        <w:ind w:left="760" w:hanging="360"/>
      </w:pPr>
      <w:rPr>
        <w:rFonts w:ascii="Arial" w:eastAsia="Times New Roman"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6836FA0"/>
    <w:multiLevelType w:val="hybridMultilevel"/>
    <w:tmpl w:val="769A73DC"/>
    <w:lvl w:ilvl="0" w:tplc="271E13F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8B5"/>
    <w:multiLevelType w:val="hybridMultilevel"/>
    <w:tmpl w:val="13BC889E"/>
    <w:lvl w:ilvl="0" w:tplc="2DEC21CC">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A7041C"/>
    <w:multiLevelType w:val="hybridMultilevel"/>
    <w:tmpl w:val="953A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A5D63"/>
    <w:multiLevelType w:val="hybridMultilevel"/>
    <w:tmpl w:val="E3CA76FE"/>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170667A6"/>
    <w:multiLevelType w:val="hybridMultilevel"/>
    <w:tmpl w:val="173CD9DA"/>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start w:val="1"/>
      <w:numFmt w:val="bullet"/>
      <w:lvlText w:val="o"/>
      <w:lvlJc w:val="left"/>
      <w:pPr>
        <w:tabs>
          <w:tab w:val="num" w:pos="3600"/>
        </w:tabs>
        <w:ind w:left="3600" w:right="3600" w:hanging="360"/>
      </w:pPr>
      <w:rPr>
        <w:rFonts w:ascii="Courier New" w:hAnsi="Courier New" w:hint="default"/>
      </w:rPr>
    </w:lvl>
    <w:lvl w:ilvl="5" w:tplc="040D0005">
      <w:start w:val="1"/>
      <w:numFmt w:val="bullet"/>
      <w:lvlText w:val=""/>
      <w:lvlJc w:val="left"/>
      <w:pPr>
        <w:tabs>
          <w:tab w:val="num" w:pos="4320"/>
        </w:tabs>
        <w:ind w:left="4320" w:right="4320" w:hanging="360"/>
      </w:pPr>
      <w:rPr>
        <w:rFonts w:ascii="Wingdings" w:hAnsi="Wingdings" w:hint="default"/>
      </w:rPr>
    </w:lvl>
    <w:lvl w:ilvl="6" w:tplc="040D0001">
      <w:start w:val="1"/>
      <w:numFmt w:val="bullet"/>
      <w:lvlText w:val=""/>
      <w:lvlJc w:val="left"/>
      <w:pPr>
        <w:tabs>
          <w:tab w:val="num" w:pos="5040"/>
        </w:tabs>
        <w:ind w:left="5040" w:right="5040" w:hanging="360"/>
      </w:pPr>
      <w:rPr>
        <w:rFonts w:ascii="Symbol" w:hAnsi="Symbol" w:hint="default"/>
      </w:rPr>
    </w:lvl>
    <w:lvl w:ilvl="7" w:tplc="040D0003">
      <w:start w:val="1"/>
      <w:numFmt w:val="bullet"/>
      <w:lvlText w:val="o"/>
      <w:lvlJc w:val="left"/>
      <w:pPr>
        <w:tabs>
          <w:tab w:val="num" w:pos="5760"/>
        </w:tabs>
        <w:ind w:left="5760" w:right="5760" w:hanging="360"/>
      </w:pPr>
      <w:rPr>
        <w:rFonts w:ascii="Courier New" w:hAnsi="Courier New" w:hint="default"/>
      </w:rPr>
    </w:lvl>
    <w:lvl w:ilvl="8" w:tplc="040D0005">
      <w:start w:val="1"/>
      <w:numFmt w:val="bullet"/>
      <w:lvlText w:val=""/>
      <w:lvlJc w:val="left"/>
      <w:pPr>
        <w:tabs>
          <w:tab w:val="num" w:pos="6480"/>
        </w:tabs>
        <w:ind w:left="6480" w:right="6480" w:hanging="360"/>
      </w:pPr>
      <w:rPr>
        <w:rFonts w:ascii="Wingdings" w:hAnsi="Wingdings" w:hint="default"/>
      </w:rPr>
    </w:lvl>
  </w:abstractNum>
  <w:abstractNum w:abstractNumId="6">
    <w:nsid w:val="18CA2B55"/>
    <w:multiLevelType w:val="hybridMultilevel"/>
    <w:tmpl w:val="2E32B13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E513687"/>
    <w:multiLevelType w:val="hybridMultilevel"/>
    <w:tmpl w:val="325EAF62"/>
    <w:lvl w:ilvl="0" w:tplc="4EA4806A">
      <w:start w:val="1"/>
      <w:numFmt w:val="bullet"/>
      <w:lvlText w:val=""/>
      <w:lvlJc w:val="left"/>
      <w:pPr>
        <w:tabs>
          <w:tab w:val="num" w:pos="1174"/>
        </w:tabs>
        <w:ind w:left="1174" w:hanging="283"/>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8">
    <w:nsid w:val="1F0114F3"/>
    <w:multiLevelType w:val="hybridMultilevel"/>
    <w:tmpl w:val="A9B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8374C"/>
    <w:multiLevelType w:val="hybridMultilevel"/>
    <w:tmpl w:val="2682D504"/>
    <w:lvl w:ilvl="0" w:tplc="8D8CD992">
      <w:start w:val="1"/>
      <w:numFmt w:val="bullet"/>
      <w:lvlText w:val="o"/>
      <w:lvlJc w:val="left"/>
      <w:pPr>
        <w:tabs>
          <w:tab w:val="num" w:pos="607"/>
        </w:tabs>
        <w:ind w:left="607" w:hanging="283"/>
      </w:pPr>
      <w:rPr>
        <w:rFonts w:ascii="Courier New" w:hAnsi="Courier New"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0">
    <w:nsid w:val="25E80121"/>
    <w:multiLevelType w:val="multilevel"/>
    <w:tmpl w:val="980EC1A4"/>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11">
    <w:nsid w:val="270E0BD8"/>
    <w:multiLevelType w:val="hybridMultilevel"/>
    <w:tmpl w:val="009CA824"/>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2">
    <w:nsid w:val="27C14569"/>
    <w:multiLevelType w:val="hybridMultilevel"/>
    <w:tmpl w:val="436843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87707DF"/>
    <w:multiLevelType w:val="multilevel"/>
    <w:tmpl w:val="77603572"/>
    <w:lvl w:ilvl="0">
      <w:start w:val="1"/>
      <w:numFmt w:val="bullet"/>
      <w:lvlText w:val=""/>
      <w:lvlJc w:val="left"/>
      <w:pPr>
        <w:tabs>
          <w:tab w:val="num" w:pos="1365"/>
        </w:tabs>
        <w:ind w:left="1365" w:right="1365" w:hanging="360"/>
      </w:pPr>
      <w:rPr>
        <w:rFonts w:ascii="Symbol" w:hAnsi="Symbol" w:hint="default"/>
      </w:rPr>
    </w:lvl>
    <w:lvl w:ilvl="1">
      <w:start w:val="1"/>
      <w:numFmt w:val="bullet"/>
      <w:lvlText w:val=""/>
      <w:lvlJc w:val="left"/>
      <w:pPr>
        <w:tabs>
          <w:tab w:val="num" w:pos="1365"/>
        </w:tabs>
        <w:ind w:left="1365" w:right="1365" w:hanging="360"/>
      </w:pPr>
      <w:rPr>
        <w:rFonts w:ascii="Symbol" w:hAnsi="Symbol" w:hint="default"/>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4">
    <w:nsid w:val="28E16C12"/>
    <w:multiLevelType w:val="hybridMultilevel"/>
    <w:tmpl w:val="44E8E57E"/>
    <w:lvl w:ilvl="0" w:tplc="040D0001">
      <w:start w:val="1"/>
      <w:numFmt w:val="bullet"/>
      <w:lvlText w:val=""/>
      <w:lvlJc w:val="left"/>
      <w:pPr>
        <w:tabs>
          <w:tab w:val="num" w:pos="400"/>
        </w:tabs>
        <w:ind w:left="400" w:right="1365" w:hanging="360"/>
      </w:pPr>
      <w:rPr>
        <w:rFonts w:ascii="Symbol" w:hAnsi="Symbol" w:hint="default"/>
      </w:rPr>
    </w:lvl>
    <w:lvl w:ilvl="1" w:tplc="04090003" w:tentative="1">
      <w:start w:val="1"/>
      <w:numFmt w:val="bullet"/>
      <w:lvlText w:val="o"/>
      <w:lvlJc w:val="left"/>
      <w:pPr>
        <w:tabs>
          <w:tab w:val="num" w:pos="475"/>
        </w:tabs>
        <w:ind w:left="475" w:hanging="360"/>
      </w:pPr>
      <w:rPr>
        <w:rFonts w:ascii="Courier New" w:hAnsi="Courier New" w:cs="Courier New" w:hint="default"/>
      </w:rPr>
    </w:lvl>
    <w:lvl w:ilvl="2" w:tplc="04090005" w:tentative="1">
      <w:start w:val="1"/>
      <w:numFmt w:val="bullet"/>
      <w:lvlText w:val=""/>
      <w:lvlJc w:val="left"/>
      <w:pPr>
        <w:tabs>
          <w:tab w:val="num" w:pos="1195"/>
        </w:tabs>
        <w:ind w:left="1195" w:hanging="360"/>
      </w:pPr>
      <w:rPr>
        <w:rFonts w:ascii="Wingdings" w:hAnsi="Wingdings" w:hint="default"/>
      </w:rPr>
    </w:lvl>
    <w:lvl w:ilvl="3" w:tplc="04090001" w:tentative="1">
      <w:start w:val="1"/>
      <w:numFmt w:val="bullet"/>
      <w:lvlText w:val=""/>
      <w:lvlJc w:val="left"/>
      <w:pPr>
        <w:tabs>
          <w:tab w:val="num" w:pos="1915"/>
        </w:tabs>
        <w:ind w:left="1915" w:hanging="360"/>
      </w:pPr>
      <w:rPr>
        <w:rFonts w:ascii="Symbol" w:hAnsi="Symbol" w:hint="default"/>
      </w:rPr>
    </w:lvl>
    <w:lvl w:ilvl="4" w:tplc="04090003" w:tentative="1">
      <w:start w:val="1"/>
      <w:numFmt w:val="bullet"/>
      <w:lvlText w:val="o"/>
      <w:lvlJc w:val="left"/>
      <w:pPr>
        <w:tabs>
          <w:tab w:val="num" w:pos="2635"/>
        </w:tabs>
        <w:ind w:left="2635" w:hanging="360"/>
      </w:pPr>
      <w:rPr>
        <w:rFonts w:ascii="Courier New" w:hAnsi="Courier New" w:cs="Courier New" w:hint="default"/>
      </w:rPr>
    </w:lvl>
    <w:lvl w:ilvl="5" w:tplc="04090005" w:tentative="1">
      <w:start w:val="1"/>
      <w:numFmt w:val="bullet"/>
      <w:lvlText w:val=""/>
      <w:lvlJc w:val="left"/>
      <w:pPr>
        <w:tabs>
          <w:tab w:val="num" w:pos="3355"/>
        </w:tabs>
        <w:ind w:left="3355" w:hanging="360"/>
      </w:pPr>
      <w:rPr>
        <w:rFonts w:ascii="Wingdings" w:hAnsi="Wingdings" w:hint="default"/>
      </w:rPr>
    </w:lvl>
    <w:lvl w:ilvl="6" w:tplc="04090001" w:tentative="1">
      <w:start w:val="1"/>
      <w:numFmt w:val="bullet"/>
      <w:lvlText w:val=""/>
      <w:lvlJc w:val="left"/>
      <w:pPr>
        <w:tabs>
          <w:tab w:val="num" w:pos="4075"/>
        </w:tabs>
        <w:ind w:left="4075" w:hanging="360"/>
      </w:pPr>
      <w:rPr>
        <w:rFonts w:ascii="Symbol" w:hAnsi="Symbol" w:hint="default"/>
      </w:rPr>
    </w:lvl>
    <w:lvl w:ilvl="7" w:tplc="04090003" w:tentative="1">
      <w:start w:val="1"/>
      <w:numFmt w:val="bullet"/>
      <w:lvlText w:val="o"/>
      <w:lvlJc w:val="left"/>
      <w:pPr>
        <w:tabs>
          <w:tab w:val="num" w:pos="4795"/>
        </w:tabs>
        <w:ind w:left="4795" w:hanging="360"/>
      </w:pPr>
      <w:rPr>
        <w:rFonts w:ascii="Courier New" w:hAnsi="Courier New" w:cs="Courier New" w:hint="default"/>
      </w:rPr>
    </w:lvl>
    <w:lvl w:ilvl="8" w:tplc="04090005" w:tentative="1">
      <w:start w:val="1"/>
      <w:numFmt w:val="bullet"/>
      <w:lvlText w:val=""/>
      <w:lvlJc w:val="left"/>
      <w:pPr>
        <w:tabs>
          <w:tab w:val="num" w:pos="5515"/>
        </w:tabs>
        <w:ind w:left="5515" w:hanging="360"/>
      </w:pPr>
      <w:rPr>
        <w:rFonts w:ascii="Wingdings" w:hAnsi="Wingdings" w:hint="default"/>
      </w:rPr>
    </w:lvl>
  </w:abstractNum>
  <w:abstractNum w:abstractNumId="15">
    <w:nsid w:val="2A581C7B"/>
    <w:multiLevelType w:val="hybridMultilevel"/>
    <w:tmpl w:val="A6F6A748"/>
    <w:lvl w:ilvl="0" w:tplc="8D8CD992">
      <w:start w:val="1"/>
      <w:numFmt w:val="bullet"/>
      <w:lvlText w:val="o"/>
      <w:lvlJc w:val="left"/>
      <w:pPr>
        <w:tabs>
          <w:tab w:val="num" w:pos="283"/>
        </w:tabs>
        <w:ind w:left="283" w:hanging="283"/>
      </w:pPr>
      <w:rPr>
        <w:rFonts w:ascii="Courier New" w:hAnsi="Courier New" w:hint="default"/>
      </w:rPr>
    </w:lvl>
    <w:lvl w:ilvl="1" w:tplc="040D0001">
      <w:start w:val="1"/>
      <w:numFmt w:val="bullet"/>
      <w:lvlText w:val=""/>
      <w:lvlJc w:val="left"/>
      <w:pPr>
        <w:tabs>
          <w:tab w:val="num" w:pos="360"/>
        </w:tabs>
        <w:ind w:left="360" w:right="1365" w:hanging="360"/>
      </w:pPr>
      <w:rPr>
        <w:rFonts w:ascii="Symbol" w:hAnsi="Symbol" w:hint="default"/>
      </w:rPr>
    </w:lvl>
    <w:lvl w:ilvl="2" w:tplc="040D0005">
      <w:start w:val="1"/>
      <w:numFmt w:val="decimal"/>
      <w:lvlText w:val="%3."/>
      <w:lvlJc w:val="left"/>
      <w:pPr>
        <w:tabs>
          <w:tab w:val="num" w:pos="1155"/>
        </w:tabs>
        <w:ind w:left="1155" w:right="2160" w:hanging="360"/>
      </w:pPr>
    </w:lvl>
    <w:lvl w:ilvl="3" w:tplc="040D0001">
      <w:start w:val="1"/>
      <w:numFmt w:val="decimal"/>
      <w:lvlText w:val="%4."/>
      <w:lvlJc w:val="left"/>
      <w:pPr>
        <w:tabs>
          <w:tab w:val="num" w:pos="1875"/>
        </w:tabs>
        <w:ind w:left="1875" w:right="2880" w:hanging="360"/>
      </w:pPr>
    </w:lvl>
    <w:lvl w:ilvl="4" w:tplc="040D0003">
      <w:start w:val="1"/>
      <w:numFmt w:val="decimal"/>
      <w:lvlText w:val="%5."/>
      <w:lvlJc w:val="left"/>
      <w:pPr>
        <w:tabs>
          <w:tab w:val="num" w:pos="2595"/>
        </w:tabs>
        <w:ind w:left="2595" w:right="3600" w:hanging="360"/>
      </w:pPr>
    </w:lvl>
    <w:lvl w:ilvl="5" w:tplc="040D0005">
      <w:start w:val="1"/>
      <w:numFmt w:val="decimal"/>
      <w:lvlText w:val="%6."/>
      <w:lvlJc w:val="left"/>
      <w:pPr>
        <w:tabs>
          <w:tab w:val="num" w:pos="3315"/>
        </w:tabs>
        <w:ind w:left="3315" w:right="4320" w:hanging="360"/>
      </w:pPr>
    </w:lvl>
    <w:lvl w:ilvl="6" w:tplc="040D0001">
      <w:start w:val="1"/>
      <w:numFmt w:val="decimal"/>
      <w:lvlText w:val="%7."/>
      <w:lvlJc w:val="left"/>
      <w:pPr>
        <w:tabs>
          <w:tab w:val="num" w:pos="4035"/>
        </w:tabs>
        <w:ind w:left="4035" w:right="5040" w:hanging="360"/>
      </w:pPr>
    </w:lvl>
    <w:lvl w:ilvl="7" w:tplc="040D0003">
      <w:start w:val="1"/>
      <w:numFmt w:val="decimal"/>
      <w:lvlText w:val="%8."/>
      <w:lvlJc w:val="left"/>
      <w:pPr>
        <w:tabs>
          <w:tab w:val="num" w:pos="4755"/>
        </w:tabs>
        <w:ind w:left="4755" w:right="5760" w:hanging="360"/>
      </w:pPr>
    </w:lvl>
    <w:lvl w:ilvl="8" w:tplc="040D0005">
      <w:start w:val="1"/>
      <w:numFmt w:val="decimal"/>
      <w:lvlText w:val="%9."/>
      <w:lvlJc w:val="left"/>
      <w:pPr>
        <w:tabs>
          <w:tab w:val="num" w:pos="5475"/>
        </w:tabs>
        <w:ind w:left="5475" w:right="6480" w:hanging="360"/>
      </w:pPr>
    </w:lvl>
  </w:abstractNum>
  <w:abstractNum w:abstractNumId="16">
    <w:nsid w:val="2AF83324"/>
    <w:multiLevelType w:val="hybridMultilevel"/>
    <w:tmpl w:val="D74E6FAE"/>
    <w:lvl w:ilvl="0" w:tplc="040D0001">
      <w:start w:val="1"/>
      <w:numFmt w:val="bullet"/>
      <w:lvlText w:val=""/>
      <w:lvlJc w:val="left"/>
      <w:pPr>
        <w:tabs>
          <w:tab w:val="num" w:pos="400"/>
        </w:tabs>
        <w:ind w:left="400" w:right="1365" w:hanging="360"/>
      </w:pPr>
      <w:rPr>
        <w:rFonts w:ascii="Symbol" w:hAnsi="Symbol" w:hint="default"/>
      </w:rPr>
    </w:lvl>
    <w:lvl w:ilvl="1" w:tplc="04090003">
      <w:start w:val="1"/>
      <w:numFmt w:val="bullet"/>
      <w:lvlText w:val="o"/>
      <w:lvlJc w:val="left"/>
      <w:pPr>
        <w:tabs>
          <w:tab w:val="num" w:pos="475"/>
        </w:tabs>
        <w:ind w:left="475" w:hanging="360"/>
      </w:pPr>
      <w:rPr>
        <w:rFonts w:ascii="Courier New" w:hAnsi="Courier New" w:cs="Courier New" w:hint="default"/>
      </w:rPr>
    </w:lvl>
    <w:lvl w:ilvl="2" w:tplc="04090005">
      <w:start w:val="1"/>
      <w:numFmt w:val="bullet"/>
      <w:lvlText w:val=""/>
      <w:lvlJc w:val="left"/>
      <w:pPr>
        <w:tabs>
          <w:tab w:val="num" w:pos="1195"/>
        </w:tabs>
        <w:ind w:left="1195" w:hanging="360"/>
      </w:pPr>
      <w:rPr>
        <w:rFonts w:ascii="Wingdings" w:hAnsi="Wingdings" w:hint="default"/>
      </w:rPr>
    </w:lvl>
    <w:lvl w:ilvl="3" w:tplc="04090001" w:tentative="1">
      <w:start w:val="1"/>
      <w:numFmt w:val="bullet"/>
      <w:lvlText w:val=""/>
      <w:lvlJc w:val="left"/>
      <w:pPr>
        <w:tabs>
          <w:tab w:val="num" w:pos="1915"/>
        </w:tabs>
        <w:ind w:left="1915" w:hanging="360"/>
      </w:pPr>
      <w:rPr>
        <w:rFonts w:ascii="Symbol" w:hAnsi="Symbol" w:hint="default"/>
      </w:rPr>
    </w:lvl>
    <w:lvl w:ilvl="4" w:tplc="04090003" w:tentative="1">
      <w:start w:val="1"/>
      <w:numFmt w:val="bullet"/>
      <w:lvlText w:val="o"/>
      <w:lvlJc w:val="left"/>
      <w:pPr>
        <w:tabs>
          <w:tab w:val="num" w:pos="2635"/>
        </w:tabs>
        <w:ind w:left="2635" w:hanging="360"/>
      </w:pPr>
      <w:rPr>
        <w:rFonts w:ascii="Courier New" w:hAnsi="Courier New" w:cs="Courier New" w:hint="default"/>
      </w:rPr>
    </w:lvl>
    <w:lvl w:ilvl="5" w:tplc="04090005" w:tentative="1">
      <w:start w:val="1"/>
      <w:numFmt w:val="bullet"/>
      <w:lvlText w:val=""/>
      <w:lvlJc w:val="left"/>
      <w:pPr>
        <w:tabs>
          <w:tab w:val="num" w:pos="3355"/>
        </w:tabs>
        <w:ind w:left="3355" w:hanging="360"/>
      </w:pPr>
      <w:rPr>
        <w:rFonts w:ascii="Wingdings" w:hAnsi="Wingdings" w:hint="default"/>
      </w:rPr>
    </w:lvl>
    <w:lvl w:ilvl="6" w:tplc="04090001" w:tentative="1">
      <w:start w:val="1"/>
      <w:numFmt w:val="bullet"/>
      <w:lvlText w:val=""/>
      <w:lvlJc w:val="left"/>
      <w:pPr>
        <w:tabs>
          <w:tab w:val="num" w:pos="4075"/>
        </w:tabs>
        <w:ind w:left="4075" w:hanging="360"/>
      </w:pPr>
      <w:rPr>
        <w:rFonts w:ascii="Symbol" w:hAnsi="Symbol" w:hint="default"/>
      </w:rPr>
    </w:lvl>
    <w:lvl w:ilvl="7" w:tplc="04090003" w:tentative="1">
      <w:start w:val="1"/>
      <w:numFmt w:val="bullet"/>
      <w:lvlText w:val="o"/>
      <w:lvlJc w:val="left"/>
      <w:pPr>
        <w:tabs>
          <w:tab w:val="num" w:pos="4795"/>
        </w:tabs>
        <w:ind w:left="4795" w:hanging="360"/>
      </w:pPr>
      <w:rPr>
        <w:rFonts w:ascii="Courier New" w:hAnsi="Courier New" w:cs="Courier New" w:hint="default"/>
      </w:rPr>
    </w:lvl>
    <w:lvl w:ilvl="8" w:tplc="04090005" w:tentative="1">
      <w:start w:val="1"/>
      <w:numFmt w:val="bullet"/>
      <w:lvlText w:val=""/>
      <w:lvlJc w:val="left"/>
      <w:pPr>
        <w:tabs>
          <w:tab w:val="num" w:pos="5515"/>
        </w:tabs>
        <w:ind w:left="5515" w:hanging="360"/>
      </w:pPr>
      <w:rPr>
        <w:rFonts w:ascii="Wingdings" w:hAnsi="Wingdings" w:hint="default"/>
      </w:rPr>
    </w:lvl>
  </w:abstractNum>
  <w:abstractNum w:abstractNumId="17">
    <w:nsid w:val="3372491C"/>
    <w:multiLevelType w:val="hybridMultilevel"/>
    <w:tmpl w:val="F0163F46"/>
    <w:lvl w:ilvl="0" w:tplc="76201CA8">
      <w:numFmt w:val="bullet"/>
      <w:lvlText w:val="-"/>
      <w:lvlJc w:val="left"/>
      <w:pPr>
        <w:ind w:left="7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A6BEC"/>
    <w:multiLevelType w:val="hybridMultilevel"/>
    <w:tmpl w:val="07BE83E4"/>
    <w:lvl w:ilvl="0" w:tplc="040D0001">
      <w:start w:val="1"/>
      <w:numFmt w:val="bullet"/>
      <w:lvlText w:val=""/>
      <w:lvlJc w:val="left"/>
      <w:pPr>
        <w:tabs>
          <w:tab w:val="num" w:pos="400"/>
        </w:tabs>
        <w:ind w:left="400" w:right="1365" w:hanging="360"/>
      </w:pPr>
      <w:rPr>
        <w:rFonts w:ascii="Symbol" w:hAnsi="Symbol" w:hint="default"/>
      </w:rPr>
    </w:lvl>
    <w:lvl w:ilvl="1" w:tplc="04090003">
      <w:start w:val="1"/>
      <w:numFmt w:val="bullet"/>
      <w:lvlText w:val="o"/>
      <w:lvlJc w:val="left"/>
      <w:pPr>
        <w:tabs>
          <w:tab w:val="num" w:pos="475"/>
        </w:tabs>
        <w:ind w:left="475" w:hanging="360"/>
      </w:pPr>
      <w:rPr>
        <w:rFonts w:ascii="Courier New" w:hAnsi="Courier New" w:cs="Courier New" w:hint="default"/>
      </w:rPr>
    </w:lvl>
    <w:lvl w:ilvl="2" w:tplc="040D0001">
      <w:start w:val="1"/>
      <w:numFmt w:val="bullet"/>
      <w:lvlText w:val=""/>
      <w:lvlJc w:val="left"/>
      <w:pPr>
        <w:tabs>
          <w:tab w:val="num" w:pos="1195"/>
        </w:tabs>
        <w:ind w:left="1195" w:hanging="360"/>
      </w:pPr>
      <w:rPr>
        <w:rFonts w:ascii="Symbol" w:hAnsi="Symbol" w:hint="default"/>
      </w:rPr>
    </w:lvl>
    <w:lvl w:ilvl="3" w:tplc="04090001" w:tentative="1">
      <w:start w:val="1"/>
      <w:numFmt w:val="bullet"/>
      <w:lvlText w:val=""/>
      <w:lvlJc w:val="left"/>
      <w:pPr>
        <w:tabs>
          <w:tab w:val="num" w:pos="1915"/>
        </w:tabs>
        <w:ind w:left="1915" w:hanging="360"/>
      </w:pPr>
      <w:rPr>
        <w:rFonts w:ascii="Symbol" w:hAnsi="Symbol" w:hint="default"/>
      </w:rPr>
    </w:lvl>
    <w:lvl w:ilvl="4" w:tplc="04090003" w:tentative="1">
      <w:start w:val="1"/>
      <w:numFmt w:val="bullet"/>
      <w:lvlText w:val="o"/>
      <w:lvlJc w:val="left"/>
      <w:pPr>
        <w:tabs>
          <w:tab w:val="num" w:pos="2635"/>
        </w:tabs>
        <w:ind w:left="2635" w:hanging="360"/>
      </w:pPr>
      <w:rPr>
        <w:rFonts w:ascii="Courier New" w:hAnsi="Courier New" w:cs="Courier New" w:hint="default"/>
      </w:rPr>
    </w:lvl>
    <w:lvl w:ilvl="5" w:tplc="04090005" w:tentative="1">
      <w:start w:val="1"/>
      <w:numFmt w:val="bullet"/>
      <w:lvlText w:val=""/>
      <w:lvlJc w:val="left"/>
      <w:pPr>
        <w:tabs>
          <w:tab w:val="num" w:pos="3355"/>
        </w:tabs>
        <w:ind w:left="3355" w:hanging="360"/>
      </w:pPr>
      <w:rPr>
        <w:rFonts w:ascii="Wingdings" w:hAnsi="Wingdings" w:hint="default"/>
      </w:rPr>
    </w:lvl>
    <w:lvl w:ilvl="6" w:tplc="04090001" w:tentative="1">
      <w:start w:val="1"/>
      <w:numFmt w:val="bullet"/>
      <w:lvlText w:val=""/>
      <w:lvlJc w:val="left"/>
      <w:pPr>
        <w:tabs>
          <w:tab w:val="num" w:pos="4075"/>
        </w:tabs>
        <w:ind w:left="4075" w:hanging="360"/>
      </w:pPr>
      <w:rPr>
        <w:rFonts w:ascii="Symbol" w:hAnsi="Symbol" w:hint="default"/>
      </w:rPr>
    </w:lvl>
    <w:lvl w:ilvl="7" w:tplc="04090003" w:tentative="1">
      <w:start w:val="1"/>
      <w:numFmt w:val="bullet"/>
      <w:lvlText w:val="o"/>
      <w:lvlJc w:val="left"/>
      <w:pPr>
        <w:tabs>
          <w:tab w:val="num" w:pos="4795"/>
        </w:tabs>
        <w:ind w:left="4795" w:hanging="360"/>
      </w:pPr>
      <w:rPr>
        <w:rFonts w:ascii="Courier New" w:hAnsi="Courier New" w:cs="Courier New" w:hint="default"/>
      </w:rPr>
    </w:lvl>
    <w:lvl w:ilvl="8" w:tplc="04090005" w:tentative="1">
      <w:start w:val="1"/>
      <w:numFmt w:val="bullet"/>
      <w:lvlText w:val=""/>
      <w:lvlJc w:val="left"/>
      <w:pPr>
        <w:tabs>
          <w:tab w:val="num" w:pos="5515"/>
        </w:tabs>
        <w:ind w:left="5515" w:hanging="360"/>
      </w:pPr>
      <w:rPr>
        <w:rFonts w:ascii="Wingdings" w:hAnsi="Wingdings" w:hint="default"/>
      </w:rPr>
    </w:lvl>
  </w:abstractNum>
  <w:abstractNum w:abstractNumId="19">
    <w:nsid w:val="3C3C0C8D"/>
    <w:multiLevelType w:val="hybridMultilevel"/>
    <w:tmpl w:val="7D42B08A"/>
    <w:lvl w:ilvl="0" w:tplc="4EA4806A">
      <w:start w:val="1"/>
      <w:numFmt w:val="bullet"/>
      <w:lvlText w:val=""/>
      <w:lvlJc w:val="left"/>
      <w:pPr>
        <w:tabs>
          <w:tab w:val="num" w:pos="1134"/>
        </w:tabs>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1FFD"/>
    <w:multiLevelType w:val="multilevel"/>
    <w:tmpl w:val="99DABB04"/>
    <w:lvl w:ilvl="0">
      <w:start w:val="1"/>
      <w:numFmt w:val="bullet"/>
      <w:lvlText w:val=""/>
      <w:lvlJc w:val="left"/>
      <w:pPr>
        <w:tabs>
          <w:tab w:val="num" w:pos="1365"/>
        </w:tabs>
        <w:ind w:left="1365" w:right="1365" w:hanging="360"/>
      </w:pPr>
      <w:rPr>
        <w:rFonts w:ascii="Symbol" w:hAnsi="Symbol" w:hint="default"/>
      </w:rPr>
    </w:lvl>
    <w:lvl w:ilvl="1">
      <w:start w:val="1"/>
      <w:numFmt w:val="bullet"/>
      <w:lvlText w:val=""/>
      <w:lvlJc w:val="left"/>
      <w:pPr>
        <w:tabs>
          <w:tab w:val="num" w:pos="1365"/>
        </w:tabs>
        <w:ind w:left="1365" w:right="1365" w:hanging="360"/>
      </w:pPr>
      <w:rPr>
        <w:rFonts w:ascii="Symbol" w:hAnsi="Symbol" w:hint="default"/>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21">
    <w:nsid w:val="46A90A29"/>
    <w:multiLevelType w:val="hybridMultilevel"/>
    <w:tmpl w:val="EC9800AE"/>
    <w:lvl w:ilvl="0" w:tplc="B2502230">
      <w:start w:val="1"/>
      <w:numFmt w:val="bullet"/>
      <w:lvlText w:val=""/>
      <w:lvlJc w:val="left"/>
      <w:pPr>
        <w:tabs>
          <w:tab w:val="num" w:pos="645"/>
        </w:tabs>
        <w:ind w:left="645" w:right="1365" w:hanging="360"/>
      </w:pPr>
      <w:rPr>
        <w:rFonts w:ascii="Symbol" w:hAnsi="Symbol" w:hint="default"/>
        <w:color w:val="auto"/>
      </w:rPr>
    </w:lvl>
    <w:lvl w:ilvl="1" w:tplc="76201CA8">
      <w:numFmt w:val="bullet"/>
      <w:lvlText w:val="-"/>
      <w:lvlJc w:val="left"/>
      <w:pPr>
        <w:tabs>
          <w:tab w:val="num" w:pos="645"/>
        </w:tabs>
        <w:ind w:left="645" w:right="1365" w:hanging="360"/>
      </w:pPr>
      <w:rPr>
        <w:rFonts w:ascii="Arial" w:eastAsia="Times New Roman" w:hAnsi="Arial" w:cs="Arial" w:hint="default"/>
      </w:rPr>
    </w:lvl>
    <w:lvl w:ilvl="2" w:tplc="040D0005">
      <w:start w:val="1"/>
      <w:numFmt w:val="decimal"/>
      <w:lvlText w:val="%3."/>
      <w:lvlJc w:val="left"/>
      <w:pPr>
        <w:tabs>
          <w:tab w:val="num" w:pos="1440"/>
        </w:tabs>
        <w:ind w:left="1440" w:right="2160" w:hanging="360"/>
      </w:pPr>
    </w:lvl>
    <w:lvl w:ilvl="3" w:tplc="040D0001">
      <w:start w:val="1"/>
      <w:numFmt w:val="decimal"/>
      <w:lvlText w:val="%4."/>
      <w:lvlJc w:val="left"/>
      <w:pPr>
        <w:tabs>
          <w:tab w:val="num" w:pos="2160"/>
        </w:tabs>
        <w:ind w:left="2160" w:right="2880" w:hanging="360"/>
      </w:pPr>
    </w:lvl>
    <w:lvl w:ilvl="4" w:tplc="040D0003">
      <w:start w:val="1"/>
      <w:numFmt w:val="decimal"/>
      <w:lvlText w:val="%5."/>
      <w:lvlJc w:val="left"/>
      <w:pPr>
        <w:tabs>
          <w:tab w:val="num" w:pos="2880"/>
        </w:tabs>
        <w:ind w:left="2880" w:right="3600" w:hanging="360"/>
      </w:pPr>
    </w:lvl>
    <w:lvl w:ilvl="5" w:tplc="040D0005">
      <w:start w:val="1"/>
      <w:numFmt w:val="decimal"/>
      <w:lvlText w:val="%6."/>
      <w:lvlJc w:val="left"/>
      <w:pPr>
        <w:tabs>
          <w:tab w:val="num" w:pos="3600"/>
        </w:tabs>
        <w:ind w:left="3600" w:right="4320" w:hanging="360"/>
      </w:pPr>
    </w:lvl>
    <w:lvl w:ilvl="6" w:tplc="040D0001">
      <w:start w:val="1"/>
      <w:numFmt w:val="decimal"/>
      <w:lvlText w:val="%7."/>
      <w:lvlJc w:val="left"/>
      <w:pPr>
        <w:tabs>
          <w:tab w:val="num" w:pos="4320"/>
        </w:tabs>
        <w:ind w:left="4320" w:right="5040" w:hanging="360"/>
      </w:pPr>
    </w:lvl>
    <w:lvl w:ilvl="7" w:tplc="040D0003">
      <w:start w:val="1"/>
      <w:numFmt w:val="decimal"/>
      <w:lvlText w:val="%8."/>
      <w:lvlJc w:val="left"/>
      <w:pPr>
        <w:tabs>
          <w:tab w:val="num" w:pos="5040"/>
        </w:tabs>
        <w:ind w:left="5040" w:right="5760" w:hanging="360"/>
      </w:pPr>
    </w:lvl>
    <w:lvl w:ilvl="8" w:tplc="040D0005">
      <w:start w:val="1"/>
      <w:numFmt w:val="decimal"/>
      <w:lvlText w:val="%9."/>
      <w:lvlJc w:val="left"/>
      <w:pPr>
        <w:tabs>
          <w:tab w:val="num" w:pos="5760"/>
        </w:tabs>
        <w:ind w:left="5760" w:right="6480" w:hanging="360"/>
      </w:pPr>
    </w:lvl>
  </w:abstractNum>
  <w:abstractNum w:abstractNumId="22">
    <w:nsid w:val="48FC33DD"/>
    <w:multiLevelType w:val="hybridMultilevel"/>
    <w:tmpl w:val="DC9E4926"/>
    <w:lvl w:ilvl="0" w:tplc="FFFFFFFF">
      <w:start w:val="1"/>
      <w:numFmt w:val="bullet"/>
      <w:lvlText w:val=""/>
      <w:lvlJc w:val="left"/>
      <w:pPr>
        <w:tabs>
          <w:tab w:val="num" w:pos="1008"/>
        </w:tabs>
        <w:ind w:left="1008" w:right="1008" w:hanging="360"/>
      </w:pPr>
      <w:rPr>
        <w:rFonts w:ascii="Symbol" w:hAnsi="Symbol" w:hint="default"/>
      </w:rPr>
    </w:lvl>
    <w:lvl w:ilvl="1" w:tplc="FFFFFFFF" w:tentative="1">
      <w:start w:val="1"/>
      <w:numFmt w:val="bullet"/>
      <w:lvlText w:val="o"/>
      <w:lvlJc w:val="left"/>
      <w:pPr>
        <w:tabs>
          <w:tab w:val="num" w:pos="1728"/>
        </w:tabs>
        <w:ind w:left="1728" w:right="1728" w:hanging="360"/>
      </w:pPr>
      <w:rPr>
        <w:rFonts w:ascii="Courier New" w:hAnsi="Courier New" w:hint="default"/>
      </w:rPr>
    </w:lvl>
    <w:lvl w:ilvl="2" w:tplc="FFFFFFFF" w:tentative="1">
      <w:start w:val="1"/>
      <w:numFmt w:val="bullet"/>
      <w:lvlText w:val=""/>
      <w:lvlJc w:val="left"/>
      <w:pPr>
        <w:tabs>
          <w:tab w:val="num" w:pos="2448"/>
        </w:tabs>
        <w:ind w:left="2448" w:right="2448" w:hanging="360"/>
      </w:pPr>
      <w:rPr>
        <w:rFonts w:ascii="Wingdings" w:hAnsi="Wingdings" w:hint="default"/>
      </w:rPr>
    </w:lvl>
    <w:lvl w:ilvl="3" w:tplc="FFFFFFFF" w:tentative="1">
      <w:start w:val="1"/>
      <w:numFmt w:val="bullet"/>
      <w:lvlText w:val=""/>
      <w:lvlJc w:val="left"/>
      <w:pPr>
        <w:tabs>
          <w:tab w:val="num" w:pos="3168"/>
        </w:tabs>
        <w:ind w:left="3168" w:right="3168" w:hanging="360"/>
      </w:pPr>
      <w:rPr>
        <w:rFonts w:ascii="Symbol" w:hAnsi="Symbol" w:hint="default"/>
      </w:rPr>
    </w:lvl>
    <w:lvl w:ilvl="4" w:tplc="FFFFFFFF" w:tentative="1">
      <w:start w:val="1"/>
      <w:numFmt w:val="bullet"/>
      <w:lvlText w:val="o"/>
      <w:lvlJc w:val="left"/>
      <w:pPr>
        <w:tabs>
          <w:tab w:val="num" w:pos="3888"/>
        </w:tabs>
        <w:ind w:left="3888" w:right="3888" w:hanging="360"/>
      </w:pPr>
      <w:rPr>
        <w:rFonts w:ascii="Courier New" w:hAnsi="Courier New" w:hint="default"/>
      </w:rPr>
    </w:lvl>
    <w:lvl w:ilvl="5" w:tplc="FFFFFFFF" w:tentative="1">
      <w:start w:val="1"/>
      <w:numFmt w:val="bullet"/>
      <w:lvlText w:val=""/>
      <w:lvlJc w:val="left"/>
      <w:pPr>
        <w:tabs>
          <w:tab w:val="num" w:pos="4608"/>
        </w:tabs>
        <w:ind w:left="4608" w:right="4608" w:hanging="360"/>
      </w:pPr>
      <w:rPr>
        <w:rFonts w:ascii="Wingdings" w:hAnsi="Wingdings" w:hint="default"/>
      </w:rPr>
    </w:lvl>
    <w:lvl w:ilvl="6" w:tplc="FFFFFFFF" w:tentative="1">
      <w:start w:val="1"/>
      <w:numFmt w:val="bullet"/>
      <w:lvlText w:val=""/>
      <w:lvlJc w:val="left"/>
      <w:pPr>
        <w:tabs>
          <w:tab w:val="num" w:pos="5328"/>
        </w:tabs>
        <w:ind w:left="5328" w:right="5328" w:hanging="360"/>
      </w:pPr>
      <w:rPr>
        <w:rFonts w:ascii="Symbol" w:hAnsi="Symbol" w:hint="default"/>
      </w:rPr>
    </w:lvl>
    <w:lvl w:ilvl="7" w:tplc="FFFFFFFF" w:tentative="1">
      <w:start w:val="1"/>
      <w:numFmt w:val="bullet"/>
      <w:lvlText w:val="o"/>
      <w:lvlJc w:val="left"/>
      <w:pPr>
        <w:tabs>
          <w:tab w:val="num" w:pos="6048"/>
        </w:tabs>
        <w:ind w:left="6048" w:right="6048" w:hanging="360"/>
      </w:pPr>
      <w:rPr>
        <w:rFonts w:ascii="Courier New" w:hAnsi="Courier New" w:hint="default"/>
      </w:rPr>
    </w:lvl>
    <w:lvl w:ilvl="8" w:tplc="FFFFFFFF" w:tentative="1">
      <w:start w:val="1"/>
      <w:numFmt w:val="bullet"/>
      <w:lvlText w:val=""/>
      <w:lvlJc w:val="left"/>
      <w:pPr>
        <w:tabs>
          <w:tab w:val="num" w:pos="6768"/>
        </w:tabs>
        <w:ind w:left="6768" w:right="6768" w:hanging="360"/>
      </w:pPr>
      <w:rPr>
        <w:rFonts w:ascii="Wingdings" w:hAnsi="Wingdings" w:hint="default"/>
      </w:rPr>
    </w:lvl>
  </w:abstractNum>
  <w:abstractNum w:abstractNumId="23">
    <w:nsid w:val="492D1520"/>
    <w:multiLevelType w:val="multilevel"/>
    <w:tmpl w:val="99DABB04"/>
    <w:lvl w:ilvl="0">
      <w:start w:val="1"/>
      <w:numFmt w:val="bullet"/>
      <w:lvlText w:val=""/>
      <w:lvlJc w:val="left"/>
      <w:pPr>
        <w:tabs>
          <w:tab w:val="num" w:pos="1365"/>
        </w:tabs>
        <w:ind w:left="1365" w:right="1365" w:hanging="360"/>
      </w:pPr>
      <w:rPr>
        <w:rFonts w:ascii="Symbol" w:hAnsi="Symbol" w:hint="default"/>
      </w:rPr>
    </w:lvl>
    <w:lvl w:ilvl="1">
      <w:start w:val="1"/>
      <w:numFmt w:val="bullet"/>
      <w:lvlText w:val=""/>
      <w:lvlJc w:val="left"/>
      <w:pPr>
        <w:tabs>
          <w:tab w:val="num" w:pos="1365"/>
        </w:tabs>
        <w:ind w:left="1365" w:right="1365" w:hanging="360"/>
      </w:pPr>
      <w:rPr>
        <w:rFonts w:ascii="Symbol" w:hAnsi="Symbol" w:hint="default"/>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24">
    <w:nsid w:val="4C6B77DC"/>
    <w:multiLevelType w:val="hybridMultilevel"/>
    <w:tmpl w:val="ED72D99E"/>
    <w:lvl w:ilvl="0" w:tplc="76201CA8">
      <w:numFmt w:val="bullet"/>
      <w:lvlText w:val="-"/>
      <w:lvlJc w:val="left"/>
      <w:pPr>
        <w:ind w:left="760" w:hanging="360"/>
      </w:pPr>
      <w:rPr>
        <w:rFonts w:ascii="Arial" w:eastAsia="Times New Roman"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EC53441"/>
    <w:multiLevelType w:val="hybridMultilevel"/>
    <w:tmpl w:val="A64657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46DBD"/>
    <w:multiLevelType w:val="hybridMultilevel"/>
    <w:tmpl w:val="6330B90C"/>
    <w:lvl w:ilvl="0" w:tplc="B2502230">
      <w:start w:val="1"/>
      <w:numFmt w:val="bullet"/>
      <w:lvlText w:val=""/>
      <w:lvlJc w:val="left"/>
      <w:pPr>
        <w:tabs>
          <w:tab w:val="num" w:pos="645"/>
        </w:tabs>
        <w:ind w:left="645" w:right="1365" w:hanging="360"/>
      </w:pPr>
      <w:rPr>
        <w:rFonts w:ascii="Symbol" w:hAnsi="Symbol" w:hint="default"/>
        <w:color w:val="auto"/>
      </w:rPr>
    </w:lvl>
    <w:lvl w:ilvl="1" w:tplc="040D0001">
      <w:start w:val="1"/>
      <w:numFmt w:val="bullet"/>
      <w:lvlText w:val=""/>
      <w:lvlJc w:val="left"/>
      <w:pPr>
        <w:tabs>
          <w:tab w:val="num" w:pos="645"/>
        </w:tabs>
        <w:ind w:left="645" w:right="1365" w:hanging="360"/>
      </w:pPr>
      <w:rPr>
        <w:rFonts w:ascii="Symbol" w:hAnsi="Symbol" w:hint="default"/>
      </w:rPr>
    </w:lvl>
    <w:lvl w:ilvl="2" w:tplc="040D0005">
      <w:start w:val="1"/>
      <w:numFmt w:val="decimal"/>
      <w:lvlText w:val="%3."/>
      <w:lvlJc w:val="left"/>
      <w:pPr>
        <w:tabs>
          <w:tab w:val="num" w:pos="1440"/>
        </w:tabs>
        <w:ind w:left="1440" w:right="2160" w:hanging="360"/>
      </w:pPr>
    </w:lvl>
    <w:lvl w:ilvl="3" w:tplc="040D0001">
      <w:start w:val="1"/>
      <w:numFmt w:val="decimal"/>
      <w:lvlText w:val="%4."/>
      <w:lvlJc w:val="left"/>
      <w:pPr>
        <w:tabs>
          <w:tab w:val="num" w:pos="2160"/>
        </w:tabs>
        <w:ind w:left="2160" w:right="2880" w:hanging="360"/>
      </w:pPr>
    </w:lvl>
    <w:lvl w:ilvl="4" w:tplc="040D0003">
      <w:start w:val="1"/>
      <w:numFmt w:val="decimal"/>
      <w:lvlText w:val="%5."/>
      <w:lvlJc w:val="left"/>
      <w:pPr>
        <w:tabs>
          <w:tab w:val="num" w:pos="2880"/>
        </w:tabs>
        <w:ind w:left="2880" w:right="3600" w:hanging="360"/>
      </w:pPr>
    </w:lvl>
    <w:lvl w:ilvl="5" w:tplc="040D0005">
      <w:start w:val="1"/>
      <w:numFmt w:val="decimal"/>
      <w:lvlText w:val="%6."/>
      <w:lvlJc w:val="left"/>
      <w:pPr>
        <w:tabs>
          <w:tab w:val="num" w:pos="3600"/>
        </w:tabs>
        <w:ind w:left="3600" w:right="4320" w:hanging="360"/>
      </w:pPr>
    </w:lvl>
    <w:lvl w:ilvl="6" w:tplc="040D0001">
      <w:start w:val="1"/>
      <w:numFmt w:val="decimal"/>
      <w:lvlText w:val="%7."/>
      <w:lvlJc w:val="left"/>
      <w:pPr>
        <w:tabs>
          <w:tab w:val="num" w:pos="4320"/>
        </w:tabs>
        <w:ind w:left="4320" w:right="5040" w:hanging="360"/>
      </w:pPr>
    </w:lvl>
    <w:lvl w:ilvl="7" w:tplc="040D0003">
      <w:start w:val="1"/>
      <w:numFmt w:val="decimal"/>
      <w:lvlText w:val="%8."/>
      <w:lvlJc w:val="left"/>
      <w:pPr>
        <w:tabs>
          <w:tab w:val="num" w:pos="5040"/>
        </w:tabs>
        <w:ind w:left="5040" w:right="5760" w:hanging="360"/>
      </w:pPr>
    </w:lvl>
    <w:lvl w:ilvl="8" w:tplc="040D0005">
      <w:start w:val="1"/>
      <w:numFmt w:val="decimal"/>
      <w:lvlText w:val="%9."/>
      <w:lvlJc w:val="left"/>
      <w:pPr>
        <w:tabs>
          <w:tab w:val="num" w:pos="5760"/>
        </w:tabs>
        <w:ind w:left="5760" w:right="6480" w:hanging="360"/>
      </w:pPr>
    </w:lvl>
  </w:abstractNum>
  <w:abstractNum w:abstractNumId="27">
    <w:nsid w:val="59D8745A"/>
    <w:multiLevelType w:val="hybridMultilevel"/>
    <w:tmpl w:val="5F467CE6"/>
    <w:lvl w:ilvl="0" w:tplc="FFFFFFFF">
      <w:start w:val="1"/>
      <w:numFmt w:val="irohaFullWidth"/>
      <w:lvlText w:val=""/>
      <w:lvlJc w:val="center"/>
      <w:pPr>
        <w:tabs>
          <w:tab w:val="num" w:pos="417"/>
        </w:tabs>
        <w:ind w:left="284" w:right="284" w:hanging="227"/>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8">
    <w:nsid w:val="5BB91A62"/>
    <w:multiLevelType w:val="hybridMultilevel"/>
    <w:tmpl w:val="769A73DC"/>
    <w:lvl w:ilvl="0" w:tplc="271E13F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694F8E"/>
    <w:multiLevelType w:val="hybridMultilevel"/>
    <w:tmpl w:val="98C42124"/>
    <w:lvl w:ilvl="0" w:tplc="7BC4A2BC">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2218E9"/>
    <w:multiLevelType w:val="hybridMultilevel"/>
    <w:tmpl w:val="9CF87A86"/>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nsid w:val="61BA58EE"/>
    <w:multiLevelType w:val="hybridMultilevel"/>
    <w:tmpl w:val="A63E03E4"/>
    <w:lvl w:ilvl="0" w:tplc="C9AC70B0">
      <w:start w:val="20"/>
      <w:numFmt w:val="bullet"/>
      <w:lvlText w:val=""/>
      <w:lvlJc w:val="left"/>
      <w:pPr>
        <w:tabs>
          <w:tab w:val="num" w:pos="720"/>
        </w:tabs>
        <w:ind w:left="720" w:right="720" w:hanging="360"/>
      </w:pPr>
      <w:rPr>
        <w:rFonts w:ascii="Symbol" w:eastAsia="Times New Roman" w:hAnsi="Symbol" w:cs="Narkisim" w:hint="default"/>
      </w:rPr>
    </w:lvl>
    <w:lvl w:ilvl="1" w:tplc="040D0003">
      <w:start w:val="1"/>
      <w:numFmt w:val="decimal"/>
      <w:lvlText w:val="%2."/>
      <w:lvlJc w:val="left"/>
      <w:pPr>
        <w:tabs>
          <w:tab w:val="num" w:pos="1440"/>
        </w:tabs>
        <w:ind w:left="1440" w:right="1440" w:hanging="360"/>
      </w:pPr>
    </w:lvl>
    <w:lvl w:ilvl="2" w:tplc="040D0005">
      <w:start w:val="1"/>
      <w:numFmt w:val="decimal"/>
      <w:lvlText w:val="%3."/>
      <w:lvlJc w:val="left"/>
      <w:pPr>
        <w:tabs>
          <w:tab w:val="num" w:pos="2160"/>
        </w:tabs>
        <w:ind w:left="2160" w:right="2160" w:hanging="360"/>
      </w:pPr>
    </w:lvl>
    <w:lvl w:ilvl="3" w:tplc="040D0001">
      <w:start w:val="1"/>
      <w:numFmt w:val="decimal"/>
      <w:lvlText w:val="%4."/>
      <w:lvlJc w:val="left"/>
      <w:pPr>
        <w:tabs>
          <w:tab w:val="num" w:pos="2880"/>
        </w:tabs>
        <w:ind w:left="2880" w:right="2880" w:hanging="360"/>
      </w:pPr>
    </w:lvl>
    <w:lvl w:ilvl="4" w:tplc="040D0003">
      <w:start w:val="1"/>
      <w:numFmt w:val="decimal"/>
      <w:lvlText w:val="%5."/>
      <w:lvlJc w:val="left"/>
      <w:pPr>
        <w:tabs>
          <w:tab w:val="num" w:pos="3600"/>
        </w:tabs>
        <w:ind w:left="3600" w:right="3600" w:hanging="360"/>
      </w:pPr>
    </w:lvl>
    <w:lvl w:ilvl="5" w:tplc="040D0005">
      <w:start w:val="1"/>
      <w:numFmt w:val="decimal"/>
      <w:lvlText w:val="%6."/>
      <w:lvlJc w:val="left"/>
      <w:pPr>
        <w:tabs>
          <w:tab w:val="num" w:pos="4320"/>
        </w:tabs>
        <w:ind w:left="4320" w:right="4320" w:hanging="360"/>
      </w:pPr>
    </w:lvl>
    <w:lvl w:ilvl="6" w:tplc="040D0001">
      <w:start w:val="1"/>
      <w:numFmt w:val="decimal"/>
      <w:lvlText w:val="%7."/>
      <w:lvlJc w:val="left"/>
      <w:pPr>
        <w:tabs>
          <w:tab w:val="num" w:pos="5040"/>
        </w:tabs>
        <w:ind w:left="5040" w:right="5040" w:hanging="360"/>
      </w:pPr>
    </w:lvl>
    <w:lvl w:ilvl="7" w:tplc="040D0003">
      <w:start w:val="1"/>
      <w:numFmt w:val="decimal"/>
      <w:lvlText w:val="%8."/>
      <w:lvlJc w:val="left"/>
      <w:pPr>
        <w:tabs>
          <w:tab w:val="num" w:pos="5760"/>
        </w:tabs>
        <w:ind w:left="5760" w:right="5760" w:hanging="360"/>
      </w:pPr>
    </w:lvl>
    <w:lvl w:ilvl="8" w:tplc="040D0005">
      <w:start w:val="1"/>
      <w:numFmt w:val="decimal"/>
      <w:lvlText w:val="%9."/>
      <w:lvlJc w:val="left"/>
      <w:pPr>
        <w:tabs>
          <w:tab w:val="num" w:pos="6480"/>
        </w:tabs>
        <w:ind w:left="6480" w:right="6480" w:hanging="360"/>
      </w:pPr>
    </w:lvl>
  </w:abstractNum>
  <w:abstractNum w:abstractNumId="32">
    <w:nsid w:val="62261B9E"/>
    <w:multiLevelType w:val="hybridMultilevel"/>
    <w:tmpl w:val="7D2C7702"/>
    <w:lvl w:ilvl="0" w:tplc="4EA4806A">
      <w:start w:val="1"/>
      <w:numFmt w:val="bullet"/>
      <w:lvlText w:val=""/>
      <w:lvlJc w:val="left"/>
      <w:pPr>
        <w:tabs>
          <w:tab w:val="num" w:pos="683"/>
        </w:tabs>
        <w:ind w:left="683" w:hanging="283"/>
      </w:pPr>
      <w:rPr>
        <w:rFonts w:ascii="Symbol" w:hAnsi="Symbol" w:hint="default"/>
      </w:rPr>
    </w:lvl>
    <w:lvl w:ilvl="1" w:tplc="04090003" w:tentative="1">
      <w:start w:val="1"/>
      <w:numFmt w:val="bullet"/>
      <w:lvlText w:val="o"/>
      <w:lvlJc w:val="left"/>
      <w:pPr>
        <w:tabs>
          <w:tab w:val="num" w:pos="989"/>
        </w:tabs>
        <w:ind w:left="989" w:hanging="360"/>
      </w:pPr>
      <w:rPr>
        <w:rFonts w:ascii="Courier New" w:hAnsi="Courier New" w:cs="Courier New" w:hint="default"/>
      </w:rPr>
    </w:lvl>
    <w:lvl w:ilvl="2" w:tplc="04090005" w:tentative="1">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cs="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cs="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3">
    <w:nsid w:val="665050ED"/>
    <w:multiLevelType w:val="singleLevel"/>
    <w:tmpl w:val="919C7508"/>
    <w:lvl w:ilvl="0">
      <w:start w:val="1"/>
      <w:numFmt w:val="chosung"/>
      <w:lvlText w:val=""/>
      <w:lvlJc w:val="center"/>
      <w:pPr>
        <w:tabs>
          <w:tab w:val="num" w:pos="927"/>
        </w:tabs>
        <w:ind w:left="851" w:right="851" w:hanging="284"/>
      </w:pPr>
      <w:rPr>
        <w:rFonts w:ascii="Symbol" w:hAnsi="Symbol" w:hint="default"/>
      </w:rPr>
    </w:lvl>
  </w:abstractNum>
  <w:abstractNum w:abstractNumId="34">
    <w:nsid w:val="706B186E"/>
    <w:multiLevelType w:val="hybridMultilevel"/>
    <w:tmpl w:val="F3581B62"/>
    <w:lvl w:ilvl="0" w:tplc="C9AC70B0">
      <w:start w:val="20"/>
      <w:numFmt w:val="bullet"/>
      <w:lvlText w:val=""/>
      <w:lvlJc w:val="left"/>
      <w:pPr>
        <w:tabs>
          <w:tab w:val="num" w:pos="1080"/>
        </w:tabs>
        <w:ind w:left="1080" w:right="720" w:hanging="360"/>
      </w:pPr>
      <w:rPr>
        <w:rFonts w:ascii="Symbol" w:eastAsia="Times New Roman" w:hAnsi="Symbol" w:cs="Narkisim" w:hint="default"/>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35">
    <w:nsid w:val="71B87D58"/>
    <w:multiLevelType w:val="hybridMultilevel"/>
    <w:tmpl w:val="ED00B5FA"/>
    <w:lvl w:ilvl="0" w:tplc="040D0001">
      <w:start w:val="1"/>
      <w:numFmt w:val="bullet"/>
      <w:lvlText w:val=""/>
      <w:lvlJc w:val="left"/>
      <w:pPr>
        <w:tabs>
          <w:tab w:val="num" w:pos="1215"/>
        </w:tabs>
        <w:ind w:left="1215" w:right="1215" w:hanging="360"/>
      </w:pPr>
      <w:rPr>
        <w:rFonts w:ascii="Symbol" w:hAnsi="Symbol" w:hint="default"/>
      </w:rPr>
    </w:lvl>
    <w:lvl w:ilvl="1" w:tplc="040D0003" w:tentative="1">
      <w:start w:val="1"/>
      <w:numFmt w:val="bullet"/>
      <w:lvlText w:val="o"/>
      <w:lvlJc w:val="left"/>
      <w:pPr>
        <w:tabs>
          <w:tab w:val="num" w:pos="1935"/>
        </w:tabs>
        <w:ind w:left="1935" w:right="1935" w:hanging="360"/>
      </w:pPr>
      <w:rPr>
        <w:rFonts w:ascii="Courier New" w:hAnsi="Courier New" w:hint="default"/>
      </w:rPr>
    </w:lvl>
    <w:lvl w:ilvl="2" w:tplc="040D0005" w:tentative="1">
      <w:start w:val="1"/>
      <w:numFmt w:val="bullet"/>
      <w:lvlText w:val=""/>
      <w:lvlJc w:val="left"/>
      <w:pPr>
        <w:tabs>
          <w:tab w:val="num" w:pos="2655"/>
        </w:tabs>
        <w:ind w:left="2655" w:right="2655" w:hanging="360"/>
      </w:pPr>
      <w:rPr>
        <w:rFonts w:ascii="Wingdings" w:hAnsi="Wingdings" w:hint="default"/>
      </w:rPr>
    </w:lvl>
    <w:lvl w:ilvl="3" w:tplc="040D0001" w:tentative="1">
      <w:start w:val="1"/>
      <w:numFmt w:val="bullet"/>
      <w:lvlText w:val=""/>
      <w:lvlJc w:val="left"/>
      <w:pPr>
        <w:tabs>
          <w:tab w:val="num" w:pos="3375"/>
        </w:tabs>
        <w:ind w:left="3375" w:right="3375" w:hanging="360"/>
      </w:pPr>
      <w:rPr>
        <w:rFonts w:ascii="Symbol" w:hAnsi="Symbol" w:hint="default"/>
      </w:rPr>
    </w:lvl>
    <w:lvl w:ilvl="4" w:tplc="040D0003" w:tentative="1">
      <w:start w:val="1"/>
      <w:numFmt w:val="bullet"/>
      <w:lvlText w:val="o"/>
      <w:lvlJc w:val="left"/>
      <w:pPr>
        <w:tabs>
          <w:tab w:val="num" w:pos="4095"/>
        </w:tabs>
        <w:ind w:left="4095" w:right="4095" w:hanging="360"/>
      </w:pPr>
      <w:rPr>
        <w:rFonts w:ascii="Courier New" w:hAnsi="Courier New" w:hint="default"/>
      </w:rPr>
    </w:lvl>
    <w:lvl w:ilvl="5" w:tplc="040D0005" w:tentative="1">
      <w:start w:val="1"/>
      <w:numFmt w:val="bullet"/>
      <w:lvlText w:val=""/>
      <w:lvlJc w:val="left"/>
      <w:pPr>
        <w:tabs>
          <w:tab w:val="num" w:pos="4815"/>
        </w:tabs>
        <w:ind w:left="4815" w:right="4815" w:hanging="360"/>
      </w:pPr>
      <w:rPr>
        <w:rFonts w:ascii="Wingdings" w:hAnsi="Wingdings" w:hint="default"/>
      </w:rPr>
    </w:lvl>
    <w:lvl w:ilvl="6" w:tplc="040D0001" w:tentative="1">
      <w:start w:val="1"/>
      <w:numFmt w:val="bullet"/>
      <w:lvlText w:val=""/>
      <w:lvlJc w:val="left"/>
      <w:pPr>
        <w:tabs>
          <w:tab w:val="num" w:pos="5535"/>
        </w:tabs>
        <w:ind w:left="5535" w:right="5535" w:hanging="360"/>
      </w:pPr>
      <w:rPr>
        <w:rFonts w:ascii="Symbol" w:hAnsi="Symbol" w:hint="default"/>
      </w:rPr>
    </w:lvl>
    <w:lvl w:ilvl="7" w:tplc="040D0003" w:tentative="1">
      <w:start w:val="1"/>
      <w:numFmt w:val="bullet"/>
      <w:lvlText w:val="o"/>
      <w:lvlJc w:val="left"/>
      <w:pPr>
        <w:tabs>
          <w:tab w:val="num" w:pos="6255"/>
        </w:tabs>
        <w:ind w:left="6255" w:right="6255" w:hanging="360"/>
      </w:pPr>
      <w:rPr>
        <w:rFonts w:ascii="Courier New" w:hAnsi="Courier New" w:hint="default"/>
      </w:rPr>
    </w:lvl>
    <w:lvl w:ilvl="8" w:tplc="040D0005" w:tentative="1">
      <w:start w:val="1"/>
      <w:numFmt w:val="bullet"/>
      <w:lvlText w:val=""/>
      <w:lvlJc w:val="left"/>
      <w:pPr>
        <w:tabs>
          <w:tab w:val="num" w:pos="6975"/>
        </w:tabs>
        <w:ind w:left="6975" w:right="6975" w:hanging="360"/>
      </w:pPr>
      <w:rPr>
        <w:rFonts w:ascii="Wingdings" w:hAnsi="Wingdings" w:hint="default"/>
      </w:rPr>
    </w:lvl>
  </w:abstractNum>
  <w:abstractNum w:abstractNumId="36">
    <w:nsid w:val="7A770971"/>
    <w:multiLevelType w:val="hybridMultilevel"/>
    <w:tmpl w:val="AB846868"/>
    <w:lvl w:ilvl="0" w:tplc="04090001">
      <w:start w:val="1"/>
      <w:numFmt w:val="bullet"/>
      <w:lvlText w:val=""/>
      <w:lvlJc w:val="left"/>
      <w:pPr>
        <w:tabs>
          <w:tab w:val="num" w:pos="1500"/>
        </w:tabs>
        <w:ind w:left="1500" w:right="1500" w:hanging="360"/>
      </w:pPr>
      <w:rPr>
        <w:rFonts w:ascii="Symbol" w:hAnsi="Symbol" w:hint="default"/>
      </w:rPr>
    </w:lvl>
    <w:lvl w:ilvl="1" w:tplc="04090003" w:tentative="1">
      <w:start w:val="1"/>
      <w:numFmt w:val="bullet"/>
      <w:lvlText w:val="o"/>
      <w:lvlJc w:val="left"/>
      <w:pPr>
        <w:tabs>
          <w:tab w:val="num" w:pos="2220"/>
        </w:tabs>
        <w:ind w:left="2220" w:right="2220" w:hanging="360"/>
      </w:pPr>
      <w:rPr>
        <w:rFonts w:ascii="Courier New" w:hAnsi="Courier New" w:cs="Courier New" w:hint="default"/>
      </w:rPr>
    </w:lvl>
    <w:lvl w:ilvl="2" w:tplc="04090005" w:tentative="1">
      <w:start w:val="1"/>
      <w:numFmt w:val="bullet"/>
      <w:lvlText w:val=""/>
      <w:lvlJc w:val="left"/>
      <w:pPr>
        <w:tabs>
          <w:tab w:val="num" w:pos="2940"/>
        </w:tabs>
        <w:ind w:left="2940" w:right="2940" w:hanging="360"/>
      </w:pPr>
      <w:rPr>
        <w:rFonts w:ascii="Wingdings" w:hAnsi="Wingdings" w:hint="default"/>
      </w:rPr>
    </w:lvl>
    <w:lvl w:ilvl="3" w:tplc="04090001" w:tentative="1">
      <w:start w:val="1"/>
      <w:numFmt w:val="bullet"/>
      <w:lvlText w:val=""/>
      <w:lvlJc w:val="left"/>
      <w:pPr>
        <w:tabs>
          <w:tab w:val="num" w:pos="3660"/>
        </w:tabs>
        <w:ind w:left="3660" w:right="3660" w:hanging="360"/>
      </w:pPr>
      <w:rPr>
        <w:rFonts w:ascii="Symbol" w:hAnsi="Symbol" w:hint="default"/>
      </w:rPr>
    </w:lvl>
    <w:lvl w:ilvl="4" w:tplc="04090003" w:tentative="1">
      <w:start w:val="1"/>
      <w:numFmt w:val="bullet"/>
      <w:lvlText w:val="o"/>
      <w:lvlJc w:val="left"/>
      <w:pPr>
        <w:tabs>
          <w:tab w:val="num" w:pos="4380"/>
        </w:tabs>
        <w:ind w:left="4380" w:right="4380" w:hanging="360"/>
      </w:pPr>
      <w:rPr>
        <w:rFonts w:ascii="Courier New" w:hAnsi="Courier New" w:cs="Courier New" w:hint="default"/>
      </w:rPr>
    </w:lvl>
    <w:lvl w:ilvl="5" w:tplc="04090005" w:tentative="1">
      <w:start w:val="1"/>
      <w:numFmt w:val="bullet"/>
      <w:lvlText w:val=""/>
      <w:lvlJc w:val="left"/>
      <w:pPr>
        <w:tabs>
          <w:tab w:val="num" w:pos="5100"/>
        </w:tabs>
        <w:ind w:left="5100" w:right="5100" w:hanging="360"/>
      </w:pPr>
      <w:rPr>
        <w:rFonts w:ascii="Wingdings" w:hAnsi="Wingdings" w:hint="default"/>
      </w:rPr>
    </w:lvl>
    <w:lvl w:ilvl="6" w:tplc="04090001" w:tentative="1">
      <w:start w:val="1"/>
      <w:numFmt w:val="bullet"/>
      <w:lvlText w:val=""/>
      <w:lvlJc w:val="left"/>
      <w:pPr>
        <w:tabs>
          <w:tab w:val="num" w:pos="5820"/>
        </w:tabs>
        <w:ind w:left="5820" w:right="5820" w:hanging="360"/>
      </w:pPr>
      <w:rPr>
        <w:rFonts w:ascii="Symbol" w:hAnsi="Symbol" w:hint="default"/>
      </w:rPr>
    </w:lvl>
    <w:lvl w:ilvl="7" w:tplc="04090003" w:tentative="1">
      <w:start w:val="1"/>
      <w:numFmt w:val="bullet"/>
      <w:lvlText w:val="o"/>
      <w:lvlJc w:val="left"/>
      <w:pPr>
        <w:tabs>
          <w:tab w:val="num" w:pos="6540"/>
        </w:tabs>
        <w:ind w:left="6540" w:right="6540" w:hanging="360"/>
      </w:pPr>
      <w:rPr>
        <w:rFonts w:ascii="Courier New" w:hAnsi="Courier New" w:cs="Courier New" w:hint="default"/>
      </w:rPr>
    </w:lvl>
    <w:lvl w:ilvl="8" w:tplc="04090005" w:tentative="1">
      <w:start w:val="1"/>
      <w:numFmt w:val="bullet"/>
      <w:lvlText w:val=""/>
      <w:lvlJc w:val="left"/>
      <w:pPr>
        <w:tabs>
          <w:tab w:val="num" w:pos="7260"/>
        </w:tabs>
        <w:ind w:left="7260" w:right="7260" w:hanging="360"/>
      </w:pPr>
      <w:rPr>
        <w:rFonts w:ascii="Wingdings" w:hAnsi="Wingdings" w:hint="default"/>
      </w:rPr>
    </w:lvl>
  </w:abstractNum>
  <w:num w:numId="1">
    <w:abstractNumId w:val="2"/>
  </w:num>
  <w:num w:numId="2">
    <w:abstractNumId w:val="36"/>
  </w:num>
  <w:num w:numId="3">
    <w:abstractNumId w:val="27"/>
  </w:num>
  <w:num w:numId="4">
    <w:abstractNumId w:val="22"/>
  </w:num>
  <w:num w:numId="5">
    <w:abstractNumId w:val="6"/>
  </w:num>
  <w:num w:numId="6">
    <w:abstractNumId w:val="5"/>
  </w:num>
  <w:num w:numId="7">
    <w:abstractNumId w:val="33"/>
  </w:num>
  <w:num w:numId="8">
    <w:abstractNumId w:val="35"/>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4"/>
  </w:num>
  <w:num w:numId="13">
    <w:abstractNumId w:val="11"/>
  </w:num>
  <w:num w:numId="14">
    <w:abstractNumId w:val="29"/>
  </w:num>
  <w:num w:numId="15">
    <w:abstractNumId w:val="28"/>
  </w:num>
  <w:num w:numId="16">
    <w:abstractNumId w:val="10"/>
  </w:num>
  <w:num w:numId="17">
    <w:abstractNumId w:val="9"/>
  </w:num>
  <w:num w:numId="18">
    <w:abstractNumId w:val="7"/>
  </w:num>
  <w:num w:numId="19">
    <w:abstractNumId w:val="32"/>
  </w:num>
  <w:num w:numId="20">
    <w:abstractNumId w:val="19"/>
  </w:num>
  <w:num w:numId="21">
    <w:abstractNumId w:val="13"/>
  </w:num>
  <w:num w:numId="22">
    <w:abstractNumId w:val="15"/>
  </w:num>
  <w:num w:numId="23">
    <w:abstractNumId w:val="20"/>
  </w:num>
  <w:num w:numId="24">
    <w:abstractNumId w:val="23"/>
  </w:num>
  <w:num w:numId="25">
    <w:abstractNumId w:val="16"/>
  </w:num>
  <w:num w:numId="26">
    <w:abstractNumId w:val="14"/>
  </w:num>
  <w:num w:numId="27">
    <w:abstractNumId w:val="18"/>
  </w:num>
  <w:num w:numId="28">
    <w:abstractNumId w:val="3"/>
  </w:num>
  <w:num w:numId="29">
    <w:abstractNumId w:val="30"/>
  </w:num>
  <w:num w:numId="30">
    <w:abstractNumId w:val="8"/>
  </w:num>
  <w:num w:numId="31">
    <w:abstractNumId w:val="1"/>
  </w:num>
  <w:num w:numId="32">
    <w:abstractNumId w:val="12"/>
  </w:num>
  <w:num w:numId="33">
    <w:abstractNumId w:val="0"/>
  </w:num>
  <w:num w:numId="34">
    <w:abstractNumId w:val="17"/>
  </w:num>
  <w:num w:numId="35">
    <w:abstractNumId w:val="25"/>
  </w:num>
  <w:num w:numId="36">
    <w:abstractNumId w:val="21"/>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BB"/>
    <w:rsid w:val="0000017E"/>
    <w:rsid w:val="0000126B"/>
    <w:rsid w:val="00003A11"/>
    <w:rsid w:val="00006C4C"/>
    <w:rsid w:val="00006C71"/>
    <w:rsid w:val="00010FEF"/>
    <w:rsid w:val="0001188D"/>
    <w:rsid w:val="00012721"/>
    <w:rsid w:val="000128B3"/>
    <w:rsid w:val="000145FC"/>
    <w:rsid w:val="00016E99"/>
    <w:rsid w:val="00017CB4"/>
    <w:rsid w:val="000202D3"/>
    <w:rsid w:val="00020A45"/>
    <w:rsid w:val="000237D8"/>
    <w:rsid w:val="00023DA8"/>
    <w:rsid w:val="000254FF"/>
    <w:rsid w:val="00025C7A"/>
    <w:rsid w:val="00027066"/>
    <w:rsid w:val="0002721F"/>
    <w:rsid w:val="0002736D"/>
    <w:rsid w:val="000274A2"/>
    <w:rsid w:val="000301F9"/>
    <w:rsid w:val="0003378F"/>
    <w:rsid w:val="00034101"/>
    <w:rsid w:val="000350A8"/>
    <w:rsid w:val="00040F03"/>
    <w:rsid w:val="00042151"/>
    <w:rsid w:val="00042834"/>
    <w:rsid w:val="000436E6"/>
    <w:rsid w:val="000443E1"/>
    <w:rsid w:val="00047541"/>
    <w:rsid w:val="00047887"/>
    <w:rsid w:val="00051E3D"/>
    <w:rsid w:val="00054B76"/>
    <w:rsid w:val="00055D12"/>
    <w:rsid w:val="00056AA8"/>
    <w:rsid w:val="000607C3"/>
    <w:rsid w:val="00061909"/>
    <w:rsid w:val="00062836"/>
    <w:rsid w:val="00067566"/>
    <w:rsid w:val="00070F12"/>
    <w:rsid w:val="00071356"/>
    <w:rsid w:val="000716A2"/>
    <w:rsid w:val="00072CE7"/>
    <w:rsid w:val="0007437C"/>
    <w:rsid w:val="000744BB"/>
    <w:rsid w:val="00075579"/>
    <w:rsid w:val="00080ABE"/>
    <w:rsid w:val="0008477E"/>
    <w:rsid w:val="00084D10"/>
    <w:rsid w:val="00087334"/>
    <w:rsid w:val="0009034B"/>
    <w:rsid w:val="00090DAB"/>
    <w:rsid w:val="000910B2"/>
    <w:rsid w:val="00091716"/>
    <w:rsid w:val="000953E1"/>
    <w:rsid w:val="000A07D3"/>
    <w:rsid w:val="000A2DFD"/>
    <w:rsid w:val="000A31BF"/>
    <w:rsid w:val="000A3954"/>
    <w:rsid w:val="000A5E41"/>
    <w:rsid w:val="000A745F"/>
    <w:rsid w:val="000A79C1"/>
    <w:rsid w:val="000A79E2"/>
    <w:rsid w:val="000A7EEA"/>
    <w:rsid w:val="000B11E2"/>
    <w:rsid w:val="000B2E7F"/>
    <w:rsid w:val="000B3F62"/>
    <w:rsid w:val="000B7BBE"/>
    <w:rsid w:val="000C087A"/>
    <w:rsid w:val="000C09E2"/>
    <w:rsid w:val="000C10D6"/>
    <w:rsid w:val="000C2F05"/>
    <w:rsid w:val="000C45B5"/>
    <w:rsid w:val="000C49BD"/>
    <w:rsid w:val="000C4F84"/>
    <w:rsid w:val="000D2284"/>
    <w:rsid w:val="000D3C05"/>
    <w:rsid w:val="000D4703"/>
    <w:rsid w:val="000D517F"/>
    <w:rsid w:val="000D5F1B"/>
    <w:rsid w:val="000D77D3"/>
    <w:rsid w:val="000D7E41"/>
    <w:rsid w:val="000E09C0"/>
    <w:rsid w:val="000E0A80"/>
    <w:rsid w:val="000E29D1"/>
    <w:rsid w:val="000E355C"/>
    <w:rsid w:val="000E5A98"/>
    <w:rsid w:val="000F18C9"/>
    <w:rsid w:val="000F216E"/>
    <w:rsid w:val="000F36B6"/>
    <w:rsid w:val="000F41F3"/>
    <w:rsid w:val="000F6279"/>
    <w:rsid w:val="000F646C"/>
    <w:rsid w:val="001002C0"/>
    <w:rsid w:val="00100933"/>
    <w:rsid w:val="001034C9"/>
    <w:rsid w:val="0010527B"/>
    <w:rsid w:val="00105DDB"/>
    <w:rsid w:val="00106701"/>
    <w:rsid w:val="0010773A"/>
    <w:rsid w:val="00107A9B"/>
    <w:rsid w:val="00107FF7"/>
    <w:rsid w:val="0011024F"/>
    <w:rsid w:val="0011145B"/>
    <w:rsid w:val="00113BCF"/>
    <w:rsid w:val="00114714"/>
    <w:rsid w:val="001149F1"/>
    <w:rsid w:val="0011751C"/>
    <w:rsid w:val="00117B96"/>
    <w:rsid w:val="00120026"/>
    <w:rsid w:val="00122179"/>
    <w:rsid w:val="0012232F"/>
    <w:rsid w:val="0012234C"/>
    <w:rsid w:val="00122852"/>
    <w:rsid w:val="00122E76"/>
    <w:rsid w:val="00126AD7"/>
    <w:rsid w:val="0012737D"/>
    <w:rsid w:val="001306D1"/>
    <w:rsid w:val="00130C16"/>
    <w:rsid w:val="00131292"/>
    <w:rsid w:val="001316A9"/>
    <w:rsid w:val="00132D79"/>
    <w:rsid w:val="00133170"/>
    <w:rsid w:val="001344EB"/>
    <w:rsid w:val="00135074"/>
    <w:rsid w:val="0013528F"/>
    <w:rsid w:val="0014038A"/>
    <w:rsid w:val="00141901"/>
    <w:rsid w:val="00141D62"/>
    <w:rsid w:val="00144538"/>
    <w:rsid w:val="0014466D"/>
    <w:rsid w:val="001447BF"/>
    <w:rsid w:val="001458C4"/>
    <w:rsid w:val="00145F47"/>
    <w:rsid w:val="0015089A"/>
    <w:rsid w:val="00152CD7"/>
    <w:rsid w:val="00154AE7"/>
    <w:rsid w:val="00154F32"/>
    <w:rsid w:val="00156613"/>
    <w:rsid w:val="00156998"/>
    <w:rsid w:val="00157404"/>
    <w:rsid w:val="00161282"/>
    <w:rsid w:val="001621DC"/>
    <w:rsid w:val="001623D0"/>
    <w:rsid w:val="001630AD"/>
    <w:rsid w:val="001637E1"/>
    <w:rsid w:val="00164172"/>
    <w:rsid w:val="0016465C"/>
    <w:rsid w:val="00165CF7"/>
    <w:rsid w:val="00170C3F"/>
    <w:rsid w:val="00171161"/>
    <w:rsid w:val="00171B09"/>
    <w:rsid w:val="00172F6F"/>
    <w:rsid w:val="00173288"/>
    <w:rsid w:val="001737B9"/>
    <w:rsid w:val="00174E8F"/>
    <w:rsid w:val="00175694"/>
    <w:rsid w:val="0017573E"/>
    <w:rsid w:val="00175DF5"/>
    <w:rsid w:val="0018060E"/>
    <w:rsid w:val="0018093A"/>
    <w:rsid w:val="001823FC"/>
    <w:rsid w:val="00182541"/>
    <w:rsid w:val="00182C91"/>
    <w:rsid w:val="0018382F"/>
    <w:rsid w:val="001838E5"/>
    <w:rsid w:val="001839A4"/>
    <w:rsid w:val="00183C98"/>
    <w:rsid w:val="001860C3"/>
    <w:rsid w:val="001870A6"/>
    <w:rsid w:val="0019104D"/>
    <w:rsid w:val="00191117"/>
    <w:rsid w:val="00194D44"/>
    <w:rsid w:val="00195CC6"/>
    <w:rsid w:val="00195EE9"/>
    <w:rsid w:val="0019754A"/>
    <w:rsid w:val="001977A5"/>
    <w:rsid w:val="001A011C"/>
    <w:rsid w:val="001A02E0"/>
    <w:rsid w:val="001A18C7"/>
    <w:rsid w:val="001A1A3B"/>
    <w:rsid w:val="001A2605"/>
    <w:rsid w:val="001A2617"/>
    <w:rsid w:val="001A3681"/>
    <w:rsid w:val="001A3AE1"/>
    <w:rsid w:val="001A5735"/>
    <w:rsid w:val="001A604B"/>
    <w:rsid w:val="001A638C"/>
    <w:rsid w:val="001A7D74"/>
    <w:rsid w:val="001A7EEB"/>
    <w:rsid w:val="001B063B"/>
    <w:rsid w:val="001B06BD"/>
    <w:rsid w:val="001B1375"/>
    <w:rsid w:val="001B1FD6"/>
    <w:rsid w:val="001B3794"/>
    <w:rsid w:val="001B3D7F"/>
    <w:rsid w:val="001B476E"/>
    <w:rsid w:val="001B4A87"/>
    <w:rsid w:val="001B5AF8"/>
    <w:rsid w:val="001B6027"/>
    <w:rsid w:val="001B7144"/>
    <w:rsid w:val="001C070A"/>
    <w:rsid w:val="001C19D1"/>
    <w:rsid w:val="001C25B0"/>
    <w:rsid w:val="001C2E21"/>
    <w:rsid w:val="001C44E1"/>
    <w:rsid w:val="001C5014"/>
    <w:rsid w:val="001C7353"/>
    <w:rsid w:val="001C7A6B"/>
    <w:rsid w:val="001D1E1A"/>
    <w:rsid w:val="001D1E7E"/>
    <w:rsid w:val="001D347E"/>
    <w:rsid w:val="001D6955"/>
    <w:rsid w:val="001D69B6"/>
    <w:rsid w:val="001D6DCE"/>
    <w:rsid w:val="001D6E40"/>
    <w:rsid w:val="001E009E"/>
    <w:rsid w:val="001E0846"/>
    <w:rsid w:val="001E0923"/>
    <w:rsid w:val="001E2947"/>
    <w:rsid w:val="001E2E46"/>
    <w:rsid w:val="001E37DE"/>
    <w:rsid w:val="001E39A9"/>
    <w:rsid w:val="001E5194"/>
    <w:rsid w:val="001E5474"/>
    <w:rsid w:val="001E5B33"/>
    <w:rsid w:val="001E713B"/>
    <w:rsid w:val="001E7D5C"/>
    <w:rsid w:val="001F1136"/>
    <w:rsid w:val="001F15B1"/>
    <w:rsid w:val="001F24FA"/>
    <w:rsid w:val="001F316D"/>
    <w:rsid w:val="001F348F"/>
    <w:rsid w:val="001F42FB"/>
    <w:rsid w:val="001F49D0"/>
    <w:rsid w:val="001F5347"/>
    <w:rsid w:val="001F63FC"/>
    <w:rsid w:val="001F6FF0"/>
    <w:rsid w:val="001F73D1"/>
    <w:rsid w:val="00200905"/>
    <w:rsid w:val="00201B96"/>
    <w:rsid w:val="00202339"/>
    <w:rsid w:val="00202ACC"/>
    <w:rsid w:val="00202F5E"/>
    <w:rsid w:val="00203B57"/>
    <w:rsid w:val="00205973"/>
    <w:rsid w:val="00206D41"/>
    <w:rsid w:val="00207DD5"/>
    <w:rsid w:val="00210780"/>
    <w:rsid w:val="00211069"/>
    <w:rsid w:val="002122D2"/>
    <w:rsid w:val="002131D1"/>
    <w:rsid w:val="00214313"/>
    <w:rsid w:val="00215A35"/>
    <w:rsid w:val="00215A4A"/>
    <w:rsid w:val="00217CE9"/>
    <w:rsid w:val="002202CA"/>
    <w:rsid w:val="00220F11"/>
    <w:rsid w:val="00222234"/>
    <w:rsid w:val="0022238C"/>
    <w:rsid w:val="002231DF"/>
    <w:rsid w:val="002232E1"/>
    <w:rsid w:val="002250AE"/>
    <w:rsid w:val="002255BB"/>
    <w:rsid w:val="00225F8B"/>
    <w:rsid w:val="0023026E"/>
    <w:rsid w:val="0023026F"/>
    <w:rsid w:val="002306C5"/>
    <w:rsid w:val="00230819"/>
    <w:rsid w:val="00230CB3"/>
    <w:rsid w:val="002336A3"/>
    <w:rsid w:val="0023471A"/>
    <w:rsid w:val="00234923"/>
    <w:rsid w:val="0023794E"/>
    <w:rsid w:val="00240892"/>
    <w:rsid w:val="002416EB"/>
    <w:rsid w:val="00242FF4"/>
    <w:rsid w:val="00246F6C"/>
    <w:rsid w:val="0025079F"/>
    <w:rsid w:val="002521BE"/>
    <w:rsid w:val="002528B2"/>
    <w:rsid w:val="00253E6E"/>
    <w:rsid w:val="00253EF4"/>
    <w:rsid w:val="0025468D"/>
    <w:rsid w:val="002548FF"/>
    <w:rsid w:val="00254B5D"/>
    <w:rsid w:val="002572A2"/>
    <w:rsid w:val="00257AF3"/>
    <w:rsid w:val="00257F76"/>
    <w:rsid w:val="0026137E"/>
    <w:rsid w:val="00265CF6"/>
    <w:rsid w:val="00270E9E"/>
    <w:rsid w:val="00270F50"/>
    <w:rsid w:val="0027320E"/>
    <w:rsid w:val="002744DA"/>
    <w:rsid w:val="00274C2C"/>
    <w:rsid w:val="00274E1B"/>
    <w:rsid w:val="00275A68"/>
    <w:rsid w:val="00275D11"/>
    <w:rsid w:val="0027772B"/>
    <w:rsid w:val="00282EC4"/>
    <w:rsid w:val="00286213"/>
    <w:rsid w:val="00291225"/>
    <w:rsid w:val="002926B9"/>
    <w:rsid w:val="002926E8"/>
    <w:rsid w:val="00294DB1"/>
    <w:rsid w:val="0029580B"/>
    <w:rsid w:val="00297344"/>
    <w:rsid w:val="002A03EA"/>
    <w:rsid w:val="002A065A"/>
    <w:rsid w:val="002A2862"/>
    <w:rsid w:val="002A6888"/>
    <w:rsid w:val="002A6ABD"/>
    <w:rsid w:val="002A79A4"/>
    <w:rsid w:val="002B0D32"/>
    <w:rsid w:val="002B2222"/>
    <w:rsid w:val="002B2D1D"/>
    <w:rsid w:val="002B3193"/>
    <w:rsid w:val="002B4443"/>
    <w:rsid w:val="002B460F"/>
    <w:rsid w:val="002B47E8"/>
    <w:rsid w:val="002B5C5C"/>
    <w:rsid w:val="002C0056"/>
    <w:rsid w:val="002C0340"/>
    <w:rsid w:val="002C2C22"/>
    <w:rsid w:val="002C48D1"/>
    <w:rsid w:val="002C49AD"/>
    <w:rsid w:val="002C5648"/>
    <w:rsid w:val="002D0214"/>
    <w:rsid w:val="002D063D"/>
    <w:rsid w:val="002D1897"/>
    <w:rsid w:val="002D1D76"/>
    <w:rsid w:val="002D2A69"/>
    <w:rsid w:val="002D367D"/>
    <w:rsid w:val="002D66C9"/>
    <w:rsid w:val="002E0A53"/>
    <w:rsid w:val="002E132B"/>
    <w:rsid w:val="002E2268"/>
    <w:rsid w:val="002E238E"/>
    <w:rsid w:val="002E2C93"/>
    <w:rsid w:val="002E4A8F"/>
    <w:rsid w:val="002E64EF"/>
    <w:rsid w:val="002E668B"/>
    <w:rsid w:val="002E6E26"/>
    <w:rsid w:val="002E7ED0"/>
    <w:rsid w:val="002F0E46"/>
    <w:rsid w:val="002F19CC"/>
    <w:rsid w:val="002F3107"/>
    <w:rsid w:val="002F4211"/>
    <w:rsid w:val="002F661E"/>
    <w:rsid w:val="00303713"/>
    <w:rsid w:val="00304BAE"/>
    <w:rsid w:val="0030503C"/>
    <w:rsid w:val="00305A59"/>
    <w:rsid w:val="00307317"/>
    <w:rsid w:val="00310222"/>
    <w:rsid w:val="00310E58"/>
    <w:rsid w:val="00311382"/>
    <w:rsid w:val="00311C6B"/>
    <w:rsid w:val="00311DE8"/>
    <w:rsid w:val="00312AD8"/>
    <w:rsid w:val="00312C91"/>
    <w:rsid w:val="0031307D"/>
    <w:rsid w:val="0031644C"/>
    <w:rsid w:val="00316926"/>
    <w:rsid w:val="00316F10"/>
    <w:rsid w:val="003176CA"/>
    <w:rsid w:val="003201FE"/>
    <w:rsid w:val="00321D1C"/>
    <w:rsid w:val="003220E4"/>
    <w:rsid w:val="003237FE"/>
    <w:rsid w:val="00323A97"/>
    <w:rsid w:val="0032461F"/>
    <w:rsid w:val="003257F5"/>
    <w:rsid w:val="00326A52"/>
    <w:rsid w:val="00326D48"/>
    <w:rsid w:val="00327428"/>
    <w:rsid w:val="00327A9F"/>
    <w:rsid w:val="003315FF"/>
    <w:rsid w:val="003336CE"/>
    <w:rsid w:val="00334849"/>
    <w:rsid w:val="003353C6"/>
    <w:rsid w:val="00335923"/>
    <w:rsid w:val="00336097"/>
    <w:rsid w:val="003360FA"/>
    <w:rsid w:val="00336655"/>
    <w:rsid w:val="00336A02"/>
    <w:rsid w:val="00337559"/>
    <w:rsid w:val="00337CC8"/>
    <w:rsid w:val="00341B5D"/>
    <w:rsid w:val="003457B7"/>
    <w:rsid w:val="00345FD2"/>
    <w:rsid w:val="00350693"/>
    <w:rsid w:val="003524B3"/>
    <w:rsid w:val="00352855"/>
    <w:rsid w:val="00354906"/>
    <w:rsid w:val="00356AC6"/>
    <w:rsid w:val="00362A07"/>
    <w:rsid w:val="0036327C"/>
    <w:rsid w:val="00364E40"/>
    <w:rsid w:val="00365A1A"/>
    <w:rsid w:val="003678E6"/>
    <w:rsid w:val="0037488F"/>
    <w:rsid w:val="00376E45"/>
    <w:rsid w:val="00382B73"/>
    <w:rsid w:val="00383057"/>
    <w:rsid w:val="003846BC"/>
    <w:rsid w:val="00384C1E"/>
    <w:rsid w:val="00384F5B"/>
    <w:rsid w:val="003868F6"/>
    <w:rsid w:val="00390417"/>
    <w:rsid w:val="003932B2"/>
    <w:rsid w:val="00393C1A"/>
    <w:rsid w:val="003A0368"/>
    <w:rsid w:val="003A1F87"/>
    <w:rsid w:val="003A2648"/>
    <w:rsid w:val="003A2829"/>
    <w:rsid w:val="003A28AC"/>
    <w:rsid w:val="003A322B"/>
    <w:rsid w:val="003A75AF"/>
    <w:rsid w:val="003B00E4"/>
    <w:rsid w:val="003B2994"/>
    <w:rsid w:val="003B3AC9"/>
    <w:rsid w:val="003B4FA1"/>
    <w:rsid w:val="003B567C"/>
    <w:rsid w:val="003B6DEA"/>
    <w:rsid w:val="003C0775"/>
    <w:rsid w:val="003C0A58"/>
    <w:rsid w:val="003C182B"/>
    <w:rsid w:val="003C383F"/>
    <w:rsid w:val="003C433A"/>
    <w:rsid w:val="003C6236"/>
    <w:rsid w:val="003C6E17"/>
    <w:rsid w:val="003C7585"/>
    <w:rsid w:val="003D0B44"/>
    <w:rsid w:val="003D1B95"/>
    <w:rsid w:val="003D20ED"/>
    <w:rsid w:val="003D3466"/>
    <w:rsid w:val="003D3A5A"/>
    <w:rsid w:val="003D4980"/>
    <w:rsid w:val="003D52AC"/>
    <w:rsid w:val="003D547C"/>
    <w:rsid w:val="003D6AC7"/>
    <w:rsid w:val="003D6CE3"/>
    <w:rsid w:val="003D731C"/>
    <w:rsid w:val="003D7C8F"/>
    <w:rsid w:val="003E06A5"/>
    <w:rsid w:val="003E3FCF"/>
    <w:rsid w:val="003E56EC"/>
    <w:rsid w:val="003E768C"/>
    <w:rsid w:val="003E7D16"/>
    <w:rsid w:val="003F26BA"/>
    <w:rsid w:val="003F3EE3"/>
    <w:rsid w:val="003F4797"/>
    <w:rsid w:val="003F6003"/>
    <w:rsid w:val="003F65CB"/>
    <w:rsid w:val="003F6CB7"/>
    <w:rsid w:val="003F7C76"/>
    <w:rsid w:val="003F7DC3"/>
    <w:rsid w:val="0040143C"/>
    <w:rsid w:val="00401E99"/>
    <w:rsid w:val="00405CB8"/>
    <w:rsid w:val="004111C5"/>
    <w:rsid w:val="00412EDD"/>
    <w:rsid w:val="004145FD"/>
    <w:rsid w:val="00414CEC"/>
    <w:rsid w:val="00421174"/>
    <w:rsid w:val="0042239D"/>
    <w:rsid w:val="00422B7F"/>
    <w:rsid w:val="00423B51"/>
    <w:rsid w:val="00425BFF"/>
    <w:rsid w:val="00425C59"/>
    <w:rsid w:val="00425DC6"/>
    <w:rsid w:val="00426175"/>
    <w:rsid w:val="004261AF"/>
    <w:rsid w:val="004263F2"/>
    <w:rsid w:val="00426745"/>
    <w:rsid w:val="004269C1"/>
    <w:rsid w:val="00426C13"/>
    <w:rsid w:val="004308E0"/>
    <w:rsid w:val="00431FA5"/>
    <w:rsid w:val="004321BD"/>
    <w:rsid w:val="004328E1"/>
    <w:rsid w:val="00434C6B"/>
    <w:rsid w:val="004358F5"/>
    <w:rsid w:val="004433F5"/>
    <w:rsid w:val="0044399B"/>
    <w:rsid w:val="00444609"/>
    <w:rsid w:val="00444799"/>
    <w:rsid w:val="0044506A"/>
    <w:rsid w:val="00446F28"/>
    <w:rsid w:val="00447DB9"/>
    <w:rsid w:val="00450214"/>
    <w:rsid w:val="00450724"/>
    <w:rsid w:val="00451E79"/>
    <w:rsid w:val="004544D6"/>
    <w:rsid w:val="00454867"/>
    <w:rsid w:val="00454A4E"/>
    <w:rsid w:val="00454B84"/>
    <w:rsid w:val="00456F48"/>
    <w:rsid w:val="00460140"/>
    <w:rsid w:val="00460C6F"/>
    <w:rsid w:val="0046140B"/>
    <w:rsid w:val="00461F24"/>
    <w:rsid w:val="004625E8"/>
    <w:rsid w:val="004636D4"/>
    <w:rsid w:val="00463F0A"/>
    <w:rsid w:val="004641EB"/>
    <w:rsid w:val="00464672"/>
    <w:rsid w:val="0047179C"/>
    <w:rsid w:val="00471D5E"/>
    <w:rsid w:val="004733E4"/>
    <w:rsid w:val="004736B7"/>
    <w:rsid w:val="00474EC3"/>
    <w:rsid w:val="00476992"/>
    <w:rsid w:val="0047789D"/>
    <w:rsid w:val="00477B38"/>
    <w:rsid w:val="00477C25"/>
    <w:rsid w:val="00480EA7"/>
    <w:rsid w:val="00480FFB"/>
    <w:rsid w:val="004815A7"/>
    <w:rsid w:val="004815C1"/>
    <w:rsid w:val="004845FB"/>
    <w:rsid w:val="00484B9F"/>
    <w:rsid w:val="0048528C"/>
    <w:rsid w:val="0048583D"/>
    <w:rsid w:val="004866A6"/>
    <w:rsid w:val="00490540"/>
    <w:rsid w:val="00490809"/>
    <w:rsid w:val="004924E1"/>
    <w:rsid w:val="0049259D"/>
    <w:rsid w:val="00493C83"/>
    <w:rsid w:val="004940F5"/>
    <w:rsid w:val="0049443F"/>
    <w:rsid w:val="004959AC"/>
    <w:rsid w:val="004A0194"/>
    <w:rsid w:val="004A0A7B"/>
    <w:rsid w:val="004A0AA9"/>
    <w:rsid w:val="004A24F2"/>
    <w:rsid w:val="004A3FF4"/>
    <w:rsid w:val="004A6497"/>
    <w:rsid w:val="004A7788"/>
    <w:rsid w:val="004A779A"/>
    <w:rsid w:val="004A77AB"/>
    <w:rsid w:val="004B08CB"/>
    <w:rsid w:val="004B1C4B"/>
    <w:rsid w:val="004B4400"/>
    <w:rsid w:val="004C1753"/>
    <w:rsid w:val="004C31AE"/>
    <w:rsid w:val="004C4407"/>
    <w:rsid w:val="004C4BFF"/>
    <w:rsid w:val="004C5D02"/>
    <w:rsid w:val="004C6060"/>
    <w:rsid w:val="004C6745"/>
    <w:rsid w:val="004C6BC7"/>
    <w:rsid w:val="004C7BBB"/>
    <w:rsid w:val="004D1466"/>
    <w:rsid w:val="004D146A"/>
    <w:rsid w:val="004D175A"/>
    <w:rsid w:val="004D2894"/>
    <w:rsid w:val="004D4FD0"/>
    <w:rsid w:val="004D5DE2"/>
    <w:rsid w:val="004D6BAD"/>
    <w:rsid w:val="004E023F"/>
    <w:rsid w:val="004E0811"/>
    <w:rsid w:val="004E11C9"/>
    <w:rsid w:val="004E1CD5"/>
    <w:rsid w:val="004E2175"/>
    <w:rsid w:val="004E242D"/>
    <w:rsid w:val="004E2C5C"/>
    <w:rsid w:val="004E38D2"/>
    <w:rsid w:val="004E3C10"/>
    <w:rsid w:val="004E740E"/>
    <w:rsid w:val="004F07F2"/>
    <w:rsid w:val="004F3009"/>
    <w:rsid w:val="004F32FF"/>
    <w:rsid w:val="004F4704"/>
    <w:rsid w:val="004F5313"/>
    <w:rsid w:val="004F572F"/>
    <w:rsid w:val="004F7829"/>
    <w:rsid w:val="004F7A90"/>
    <w:rsid w:val="00502499"/>
    <w:rsid w:val="00502F1D"/>
    <w:rsid w:val="00503139"/>
    <w:rsid w:val="00506664"/>
    <w:rsid w:val="00506A1B"/>
    <w:rsid w:val="0050704E"/>
    <w:rsid w:val="0050741D"/>
    <w:rsid w:val="00511124"/>
    <w:rsid w:val="00512A0D"/>
    <w:rsid w:val="00513351"/>
    <w:rsid w:val="0051363D"/>
    <w:rsid w:val="0051373A"/>
    <w:rsid w:val="00514464"/>
    <w:rsid w:val="00514BB4"/>
    <w:rsid w:val="00515F34"/>
    <w:rsid w:val="00516992"/>
    <w:rsid w:val="00520122"/>
    <w:rsid w:val="0052081D"/>
    <w:rsid w:val="00521E62"/>
    <w:rsid w:val="00526E1B"/>
    <w:rsid w:val="00527532"/>
    <w:rsid w:val="00527FED"/>
    <w:rsid w:val="0053021F"/>
    <w:rsid w:val="00530881"/>
    <w:rsid w:val="00530F24"/>
    <w:rsid w:val="00532921"/>
    <w:rsid w:val="00533712"/>
    <w:rsid w:val="00533D29"/>
    <w:rsid w:val="00536732"/>
    <w:rsid w:val="00542B96"/>
    <w:rsid w:val="00542DFD"/>
    <w:rsid w:val="00542E21"/>
    <w:rsid w:val="00543E21"/>
    <w:rsid w:val="00545138"/>
    <w:rsid w:val="00546ACC"/>
    <w:rsid w:val="005511E1"/>
    <w:rsid w:val="00555594"/>
    <w:rsid w:val="005559D6"/>
    <w:rsid w:val="00556AE3"/>
    <w:rsid w:val="00556D18"/>
    <w:rsid w:val="0056018B"/>
    <w:rsid w:val="00560321"/>
    <w:rsid w:val="005645A8"/>
    <w:rsid w:val="00564FE1"/>
    <w:rsid w:val="00566CD7"/>
    <w:rsid w:val="00567EB0"/>
    <w:rsid w:val="005700B4"/>
    <w:rsid w:val="005710AC"/>
    <w:rsid w:val="0057253D"/>
    <w:rsid w:val="00572CB1"/>
    <w:rsid w:val="00572E99"/>
    <w:rsid w:val="00577F2F"/>
    <w:rsid w:val="00581DD7"/>
    <w:rsid w:val="00581FC2"/>
    <w:rsid w:val="00583ADE"/>
    <w:rsid w:val="005842B1"/>
    <w:rsid w:val="00585AA3"/>
    <w:rsid w:val="00586977"/>
    <w:rsid w:val="00586D52"/>
    <w:rsid w:val="0059249D"/>
    <w:rsid w:val="005A061D"/>
    <w:rsid w:val="005A1DAC"/>
    <w:rsid w:val="005A41E7"/>
    <w:rsid w:val="005A5BAD"/>
    <w:rsid w:val="005A5D58"/>
    <w:rsid w:val="005A65CF"/>
    <w:rsid w:val="005A7687"/>
    <w:rsid w:val="005B03B2"/>
    <w:rsid w:val="005B35C5"/>
    <w:rsid w:val="005B4994"/>
    <w:rsid w:val="005B4BF5"/>
    <w:rsid w:val="005B5014"/>
    <w:rsid w:val="005B5C54"/>
    <w:rsid w:val="005B6497"/>
    <w:rsid w:val="005C04B1"/>
    <w:rsid w:val="005C13DD"/>
    <w:rsid w:val="005C38B0"/>
    <w:rsid w:val="005C4746"/>
    <w:rsid w:val="005C4EF0"/>
    <w:rsid w:val="005C58F6"/>
    <w:rsid w:val="005C59F2"/>
    <w:rsid w:val="005C5D3D"/>
    <w:rsid w:val="005C64DC"/>
    <w:rsid w:val="005C65D2"/>
    <w:rsid w:val="005C7A0C"/>
    <w:rsid w:val="005D1CC4"/>
    <w:rsid w:val="005D2D58"/>
    <w:rsid w:val="005D5243"/>
    <w:rsid w:val="005D7A36"/>
    <w:rsid w:val="005D7FF3"/>
    <w:rsid w:val="005E02E8"/>
    <w:rsid w:val="005E2288"/>
    <w:rsid w:val="005E239F"/>
    <w:rsid w:val="005E3173"/>
    <w:rsid w:val="005E42B8"/>
    <w:rsid w:val="005E5FC9"/>
    <w:rsid w:val="005E7394"/>
    <w:rsid w:val="005E7FCA"/>
    <w:rsid w:val="005F28E2"/>
    <w:rsid w:val="005F2C4F"/>
    <w:rsid w:val="005F4918"/>
    <w:rsid w:val="005F4AF0"/>
    <w:rsid w:val="005F57BE"/>
    <w:rsid w:val="005F715F"/>
    <w:rsid w:val="005F78B8"/>
    <w:rsid w:val="0060575D"/>
    <w:rsid w:val="00606A30"/>
    <w:rsid w:val="00606A89"/>
    <w:rsid w:val="0060759F"/>
    <w:rsid w:val="006101A5"/>
    <w:rsid w:val="00610934"/>
    <w:rsid w:val="006114A0"/>
    <w:rsid w:val="006125A0"/>
    <w:rsid w:val="006135C0"/>
    <w:rsid w:val="006156C3"/>
    <w:rsid w:val="0061792C"/>
    <w:rsid w:val="00617D1F"/>
    <w:rsid w:val="00620530"/>
    <w:rsid w:val="00620AB8"/>
    <w:rsid w:val="00621F9D"/>
    <w:rsid w:val="00624796"/>
    <w:rsid w:val="006249B3"/>
    <w:rsid w:val="00624A3E"/>
    <w:rsid w:val="00625415"/>
    <w:rsid w:val="00625E6C"/>
    <w:rsid w:val="006262AC"/>
    <w:rsid w:val="006271A9"/>
    <w:rsid w:val="00627AED"/>
    <w:rsid w:val="00630192"/>
    <w:rsid w:val="00632FD2"/>
    <w:rsid w:val="00633838"/>
    <w:rsid w:val="00633975"/>
    <w:rsid w:val="006348FA"/>
    <w:rsid w:val="00635FD4"/>
    <w:rsid w:val="00637B64"/>
    <w:rsid w:val="00641802"/>
    <w:rsid w:val="0064229C"/>
    <w:rsid w:val="006444C2"/>
    <w:rsid w:val="00650234"/>
    <w:rsid w:val="00650B49"/>
    <w:rsid w:val="00650D4F"/>
    <w:rsid w:val="006523FB"/>
    <w:rsid w:val="006534B8"/>
    <w:rsid w:val="00653E4E"/>
    <w:rsid w:val="00655066"/>
    <w:rsid w:val="00656437"/>
    <w:rsid w:val="006611ED"/>
    <w:rsid w:val="006624F9"/>
    <w:rsid w:val="0066304D"/>
    <w:rsid w:val="00663EB4"/>
    <w:rsid w:val="00664A9A"/>
    <w:rsid w:val="00664B90"/>
    <w:rsid w:val="006703E4"/>
    <w:rsid w:val="006728E9"/>
    <w:rsid w:val="00675819"/>
    <w:rsid w:val="006761E9"/>
    <w:rsid w:val="006777F5"/>
    <w:rsid w:val="00680171"/>
    <w:rsid w:val="00682937"/>
    <w:rsid w:val="006833F7"/>
    <w:rsid w:val="006844ED"/>
    <w:rsid w:val="006845DC"/>
    <w:rsid w:val="00685781"/>
    <w:rsid w:val="0068715B"/>
    <w:rsid w:val="006902AA"/>
    <w:rsid w:val="006927D3"/>
    <w:rsid w:val="0069333A"/>
    <w:rsid w:val="00693959"/>
    <w:rsid w:val="006976FC"/>
    <w:rsid w:val="006A2E4F"/>
    <w:rsid w:val="006A2F22"/>
    <w:rsid w:val="006A4A90"/>
    <w:rsid w:val="006A5ED7"/>
    <w:rsid w:val="006A70FC"/>
    <w:rsid w:val="006B09C2"/>
    <w:rsid w:val="006B1E97"/>
    <w:rsid w:val="006B39D3"/>
    <w:rsid w:val="006B3A45"/>
    <w:rsid w:val="006B40DF"/>
    <w:rsid w:val="006B651B"/>
    <w:rsid w:val="006B6DE3"/>
    <w:rsid w:val="006B6E1F"/>
    <w:rsid w:val="006B73C7"/>
    <w:rsid w:val="006B7513"/>
    <w:rsid w:val="006B7694"/>
    <w:rsid w:val="006B76C1"/>
    <w:rsid w:val="006C02B9"/>
    <w:rsid w:val="006C1597"/>
    <w:rsid w:val="006C3B97"/>
    <w:rsid w:val="006C3C14"/>
    <w:rsid w:val="006C5297"/>
    <w:rsid w:val="006C52FE"/>
    <w:rsid w:val="006C78B6"/>
    <w:rsid w:val="006C7FDB"/>
    <w:rsid w:val="006D0C11"/>
    <w:rsid w:val="006D1BA9"/>
    <w:rsid w:val="006D1F44"/>
    <w:rsid w:val="006D302B"/>
    <w:rsid w:val="006D3325"/>
    <w:rsid w:val="006D3426"/>
    <w:rsid w:val="006D41B9"/>
    <w:rsid w:val="006D4294"/>
    <w:rsid w:val="006D432E"/>
    <w:rsid w:val="006D4623"/>
    <w:rsid w:val="006D4806"/>
    <w:rsid w:val="006D4B38"/>
    <w:rsid w:val="006D5457"/>
    <w:rsid w:val="006D57E9"/>
    <w:rsid w:val="006E1E33"/>
    <w:rsid w:val="006E37EA"/>
    <w:rsid w:val="006E3E68"/>
    <w:rsid w:val="006E4772"/>
    <w:rsid w:val="006E4FBA"/>
    <w:rsid w:val="006F00B3"/>
    <w:rsid w:val="006F435B"/>
    <w:rsid w:val="006F4576"/>
    <w:rsid w:val="006F57AA"/>
    <w:rsid w:val="006F5ADC"/>
    <w:rsid w:val="00700B24"/>
    <w:rsid w:val="00701778"/>
    <w:rsid w:val="0070264B"/>
    <w:rsid w:val="00703DE4"/>
    <w:rsid w:val="00704D7E"/>
    <w:rsid w:val="00706BD5"/>
    <w:rsid w:val="00707A93"/>
    <w:rsid w:val="007106AD"/>
    <w:rsid w:val="00710A5B"/>
    <w:rsid w:val="00712A09"/>
    <w:rsid w:val="00712CB8"/>
    <w:rsid w:val="00713375"/>
    <w:rsid w:val="00714F89"/>
    <w:rsid w:val="00715822"/>
    <w:rsid w:val="00715C5B"/>
    <w:rsid w:val="00716529"/>
    <w:rsid w:val="00720738"/>
    <w:rsid w:val="00720C57"/>
    <w:rsid w:val="007213B8"/>
    <w:rsid w:val="007216B8"/>
    <w:rsid w:val="007236BD"/>
    <w:rsid w:val="007249B8"/>
    <w:rsid w:val="00724A57"/>
    <w:rsid w:val="00726E90"/>
    <w:rsid w:val="007275DE"/>
    <w:rsid w:val="0073012C"/>
    <w:rsid w:val="00730F4E"/>
    <w:rsid w:val="00737F07"/>
    <w:rsid w:val="00740F16"/>
    <w:rsid w:val="00741C97"/>
    <w:rsid w:val="00742CBB"/>
    <w:rsid w:val="007453ED"/>
    <w:rsid w:val="0074601D"/>
    <w:rsid w:val="0075040F"/>
    <w:rsid w:val="0075089E"/>
    <w:rsid w:val="00750CAD"/>
    <w:rsid w:val="007519C2"/>
    <w:rsid w:val="00751A6B"/>
    <w:rsid w:val="00753570"/>
    <w:rsid w:val="007535B6"/>
    <w:rsid w:val="00754C51"/>
    <w:rsid w:val="00756E51"/>
    <w:rsid w:val="00757AC0"/>
    <w:rsid w:val="007609E0"/>
    <w:rsid w:val="00763A45"/>
    <w:rsid w:val="00764133"/>
    <w:rsid w:val="00764193"/>
    <w:rsid w:val="0076558F"/>
    <w:rsid w:val="00765F46"/>
    <w:rsid w:val="0076673A"/>
    <w:rsid w:val="007668F2"/>
    <w:rsid w:val="00770063"/>
    <w:rsid w:val="0077230F"/>
    <w:rsid w:val="00772ABF"/>
    <w:rsid w:val="00773D19"/>
    <w:rsid w:val="00776599"/>
    <w:rsid w:val="007765BF"/>
    <w:rsid w:val="00780348"/>
    <w:rsid w:val="00780AE4"/>
    <w:rsid w:val="00781819"/>
    <w:rsid w:val="00782791"/>
    <w:rsid w:val="007832B8"/>
    <w:rsid w:val="007832BC"/>
    <w:rsid w:val="007837DB"/>
    <w:rsid w:val="00784076"/>
    <w:rsid w:val="007848C7"/>
    <w:rsid w:val="00786333"/>
    <w:rsid w:val="00786AAA"/>
    <w:rsid w:val="007870ED"/>
    <w:rsid w:val="00790DCB"/>
    <w:rsid w:val="00791D2C"/>
    <w:rsid w:val="00792942"/>
    <w:rsid w:val="00792F67"/>
    <w:rsid w:val="007931D0"/>
    <w:rsid w:val="00793383"/>
    <w:rsid w:val="00793B82"/>
    <w:rsid w:val="00794372"/>
    <w:rsid w:val="007949E6"/>
    <w:rsid w:val="0079527E"/>
    <w:rsid w:val="007959E2"/>
    <w:rsid w:val="00796414"/>
    <w:rsid w:val="00797650"/>
    <w:rsid w:val="007A074A"/>
    <w:rsid w:val="007A6E46"/>
    <w:rsid w:val="007B0779"/>
    <w:rsid w:val="007B17ED"/>
    <w:rsid w:val="007B1AC4"/>
    <w:rsid w:val="007B1E3C"/>
    <w:rsid w:val="007B2C13"/>
    <w:rsid w:val="007B3259"/>
    <w:rsid w:val="007B355D"/>
    <w:rsid w:val="007B5DFF"/>
    <w:rsid w:val="007C1003"/>
    <w:rsid w:val="007C2BE3"/>
    <w:rsid w:val="007C3167"/>
    <w:rsid w:val="007C40C2"/>
    <w:rsid w:val="007C5349"/>
    <w:rsid w:val="007C653A"/>
    <w:rsid w:val="007C7B54"/>
    <w:rsid w:val="007D1C1E"/>
    <w:rsid w:val="007D2A41"/>
    <w:rsid w:val="007D38EA"/>
    <w:rsid w:val="007D6D65"/>
    <w:rsid w:val="007E0369"/>
    <w:rsid w:val="007E0C76"/>
    <w:rsid w:val="007E147A"/>
    <w:rsid w:val="007E19FD"/>
    <w:rsid w:val="007E1DF8"/>
    <w:rsid w:val="007E2EDE"/>
    <w:rsid w:val="007E36CE"/>
    <w:rsid w:val="007E3BFB"/>
    <w:rsid w:val="007E49CB"/>
    <w:rsid w:val="007E5514"/>
    <w:rsid w:val="007E562F"/>
    <w:rsid w:val="007E620D"/>
    <w:rsid w:val="007E71E8"/>
    <w:rsid w:val="007E77D6"/>
    <w:rsid w:val="007E79D2"/>
    <w:rsid w:val="007F00BE"/>
    <w:rsid w:val="007F1486"/>
    <w:rsid w:val="007F26BD"/>
    <w:rsid w:val="007F3B27"/>
    <w:rsid w:val="007F4249"/>
    <w:rsid w:val="007F426D"/>
    <w:rsid w:val="007F5434"/>
    <w:rsid w:val="007F6ACE"/>
    <w:rsid w:val="007F6EC1"/>
    <w:rsid w:val="007F7F2C"/>
    <w:rsid w:val="0080214C"/>
    <w:rsid w:val="00803373"/>
    <w:rsid w:val="008033C5"/>
    <w:rsid w:val="00803CB8"/>
    <w:rsid w:val="00805B06"/>
    <w:rsid w:val="00806274"/>
    <w:rsid w:val="008069E9"/>
    <w:rsid w:val="00806E25"/>
    <w:rsid w:val="00807F52"/>
    <w:rsid w:val="00810111"/>
    <w:rsid w:val="008131F2"/>
    <w:rsid w:val="008162A2"/>
    <w:rsid w:val="00816998"/>
    <w:rsid w:val="0082037D"/>
    <w:rsid w:val="00821956"/>
    <w:rsid w:val="00824FAF"/>
    <w:rsid w:val="00827087"/>
    <w:rsid w:val="00827F5E"/>
    <w:rsid w:val="0083165B"/>
    <w:rsid w:val="0083277A"/>
    <w:rsid w:val="00833A65"/>
    <w:rsid w:val="00835414"/>
    <w:rsid w:val="008367BF"/>
    <w:rsid w:val="008370B9"/>
    <w:rsid w:val="00840507"/>
    <w:rsid w:val="00840A1A"/>
    <w:rsid w:val="008446CA"/>
    <w:rsid w:val="00845E10"/>
    <w:rsid w:val="0084651B"/>
    <w:rsid w:val="008467B8"/>
    <w:rsid w:val="00846E7A"/>
    <w:rsid w:val="008502F5"/>
    <w:rsid w:val="00851AAA"/>
    <w:rsid w:val="0085295A"/>
    <w:rsid w:val="00852F28"/>
    <w:rsid w:val="0085340B"/>
    <w:rsid w:val="0085581B"/>
    <w:rsid w:val="00860090"/>
    <w:rsid w:val="00860298"/>
    <w:rsid w:val="00861016"/>
    <w:rsid w:val="008630F1"/>
    <w:rsid w:val="00863506"/>
    <w:rsid w:val="008664D7"/>
    <w:rsid w:val="00867835"/>
    <w:rsid w:val="00870A2C"/>
    <w:rsid w:val="00872C7C"/>
    <w:rsid w:val="00873387"/>
    <w:rsid w:val="008740AF"/>
    <w:rsid w:val="00874174"/>
    <w:rsid w:val="008743E7"/>
    <w:rsid w:val="00875204"/>
    <w:rsid w:val="0087648F"/>
    <w:rsid w:val="00877BDC"/>
    <w:rsid w:val="00880D06"/>
    <w:rsid w:val="00881DE6"/>
    <w:rsid w:val="00882348"/>
    <w:rsid w:val="00882D5D"/>
    <w:rsid w:val="00883CDC"/>
    <w:rsid w:val="00885A45"/>
    <w:rsid w:val="0088676B"/>
    <w:rsid w:val="00886C38"/>
    <w:rsid w:val="008870B8"/>
    <w:rsid w:val="00887213"/>
    <w:rsid w:val="00887480"/>
    <w:rsid w:val="0088751D"/>
    <w:rsid w:val="00890047"/>
    <w:rsid w:val="00893692"/>
    <w:rsid w:val="00894027"/>
    <w:rsid w:val="00894A9A"/>
    <w:rsid w:val="00895788"/>
    <w:rsid w:val="00896296"/>
    <w:rsid w:val="008A070F"/>
    <w:rsid w:val="008A082A"/>
    <w:rsid w:val="008A113C"/>
    <w:rsid w:val="008A255B"/>
    <w:rsid w:val="008A25DC"/>
    <w:rsid w:val="008A3179"/>
    <w:rsid w:val="008A4316"/>
    <w:rsid w:val="008A4B05"/>
    <w:rsid w:val="008A5612"/>
    <w:rsid w:val="008B34D1"/>
    <w:rsid w:val="008B3CE9"/>
    <w:rsid w:val="008B49E3"/>
    <w:rsid w:val="008B54A7"/>
    <w:rsid w:val="008B5511"/>
    <w:rsid w:val="008B6238"/>
    <w:rsid w:val="008B6543"/>
    <w:rsid w:val="008B68D2"/>
    <w:rsid w:val="008B742C"/>
    <w:rsid w:val="008B7B02"/>
    <w:rsid w:val="008C0A0F"/>
    <w:rsid w:val="008C1860"/>
    <w:rsid w:val="008C1DC6"/>
    <w:rsid w:val="008C1F22"/>
    <w:rsid w:val="008C2EA3"/>
    <w:rsid w:val="008C3074"/>
    <w:rsid w:val="008C4E70"/>
    <w:rsid w:val="008C4FB0"/>
    <w:rsid w:val="008C6C7D"/>
    <w:rsid w:val="008D1AB5"/>
    <w:rsid w:val="008D1F95"/>
    <w:rsid w:val="008D2B4F"/>
    <w:rsid w:val="008D4523"/>
    <w:rsid w:val="008D4995"/>
    <w:rsid w:val="008D4D7E"/>
    <w:rsid w:val="008D5375"/>
    <w:rsid w:val="008D6354"/>
    <w:rsid w:val="008D67A0"/>
    <w:rsid w:val="008D6974"/>
    <w:rsid w:val="008E1AD1"/>
    <w:rsid w:val="008E27FA"/>
    <w:rsid w:val="008E288A"/>
    <w:rsid w:val="008E381C"/>
    <w:rsid w:val="008E45DE"/>
    <w:rsid w:val="008E5615"/>
    <w:rsid w:val="008E6B8D"/>
    <w:rsid w:val="008E7340"/>
    <w:rsid w:val="008E746D"/>
    <w:rsid w:val="008F1630"/>
    <w:rsid w:val="008F301F"/>
    <w:rsid w:val="008F405A"/>
    <w:rsid w:val="008F693D"/>
    <w:rsid w:val="008F7A7E"/>
    <w:rsid w:val="008F7F11"/>
    <w:rsid w:val="009016FB"/>
    <w:rsid w:val="00901A7D"/>
    <w:rsid w:val="00903F12"/>
    <w:rsid w:val="00905DC9"/>
    <w:rsid w:val="00906C71"/>
    <w:rsid w:val="00907E6E"/>
    <w:rsid w:val="00910495"/>
    <w:rsid w:val="009108A3"/>
    <w:rsid w:val="009108D2"/>
    <w:rsid w:val="00912451"/>
    <w:rsid w:val="00913D9F"/>
    <w:rsid w:val="00914146"/>
    <w:rsid w:val="009141C0"/>
    <w:rsid w:val="00914236"/>
    <w:rsid w:val="009143C9"/>
    <w:rsid w:val="00915078"/>
    <w:rsid w:val="00915278"/>
    <w:rsid w:val="009156C3"/>
    <w:rsid w:val="00915F26"/>
    <w:rsid w:val="0091630F"/>
    <w:rsid w:val="009164A8"/>
    <w:rsid w:val="00916FE1"/>
    <w:rsid w:val="00917FF2"/>
    <w:rsid w:val="00920E47"/>
    <w:rsid w:val="00921233"/>
    <w:rsid w:val="009218FE"/>
    <w:rsid w:val="00922DAF"/>
    <w:rsid w:val="0092493F"/>
    <w:rsid w:val="00926FFA"/>
    <w:rsid w:val="00927F95"/>
    <w:rsid w:val="00930B79"/>
    <w:rsid w:val="00930F23"/>
    <w:rsid w:val="00932529"/>
    <w:rsid w:val="0093512A"/>
    <w:rsid w:val="00940ACE"/>
    <w:rsid w:val="009415F5"/>
    <w:rsid w:val="00941E91"/>
    <w:rsid w:val="00942324"/>
    <w:rsid w:val="009500A3"/>
    <w:rsid w:val="00951D77"/>
    <w:rsid w:val="00953A66"/>
    <w:rsid w:val="00955058"/>
    <w:rsid w:val="0095597D"/>
    <w:rsid w:val="00955F9F"/>
    <w:rsid w:val="00956800"/>
    <w:rsid w:val="00957240"/>
    <w:rsid w:val="00961639"/>
    <w:rsid w:val="00962490"/>
    <w:rsid w:val="00965691"/>
    <w:rsid w:val="00965E98"/>
    <w:rsid w:val="00965EBF"/>
    <w:rsid w:val="00966CB8"/>
    <w:rsid w:val="009670D4"/>
    <w:rsid w:val="00970CEE"/>
    <w:rsid w:val="00971DE3"/>
    <w:rsid w:val="00973A5D"/>
    <w:rsid w:val="00974C78"/>
    <w:rsid w:val="00975B09"/>
    <w:rsid w:val="00980E6A"/>
    <w:rsid w:val="009812E9"/>
    <w:rsid w:val="009829BE"/>
    <w:rsid w:val="00982E1E"/>
    <w:rsid w:val="009835F2"/>
    <w:rsid w:val="00983700"/>
    <w:rsid w:val="00984DBA"/>
    <w:rsid w:val="009856E2"/>
    <w:rsid w:val="00986035"/>
    <w:rsid w:val="00987B8E"/>
    <w:rsid w:val="009908BC"/>
    <w:rsid w:val="009923F3"/>
    <w:rsid w:val="00992AEA"/>
    <w:rsid w:val="00993932"/>
    <w:rsid w:val="00993EC7"/>
    <w:rsid w:val="0099593E"/>
    <w:rsid w:val="00996050"/>
    <w:rsid w:val="009973DE"/>
    <w:rsid w:val="009A100A"/>
    <w:rsid w:val="009A1E55"/>
    <w:rsid w:val="009A20B0"/>
    <w:rsid w:val="009A2B5E"/>
    <w:rsid w:val="009A66D2"/>
    <w:rsid w:val="009B0860"/>
    <w:rsid w:val="009B0B35"/>
    <w:rsid w:val="009B1A9E"/>
    <w:rsid w:val="009B1BB2"/>
    <w:rsid w:val="009B2A39"/>
    <w:rsid w:val="009B5E05"/>
    <w:rsid w:val="009C24A7"/>
    <w:rsid w:val="009C4B41"/>
    <w:rsid w:val="009C4F1C"/>
    <w:rsid w:val="009C733E"/>
    <w:rsid w:val="009C73C4"/>
    <w:rsid w:val="009D053D"/>
    <w:rsid w:val="009D0BAB"/>
    <w:rsid w:val="009D1E6E"/>
    <w:rsid w:val="009D41F0"/>
    <w:rsid w:val="009D438E"/>
    <w:rsid w:val="009D5EE8"/>
    <w:rsid w:val="009D76DC"/>
    <w:rsid w:val="009D7FD5"/>
    <w:rsid w:val="009E6DAA"/>
    <w:rsid w:val="009E6E26"/>
    <w:rsid w:val="009F0A93"/>
    <w:rsid w:val="009F0D45"/>
    <w:rsid w:val="009F145B"/>
    <w:rsid w:val="009F208C"/>
    <w:rsid w:val="009F22FE"/>
    <w:rsid w:val="009F351E"/>
    <w:rsid w:val="009F39A3"/>
    <w:rsid w:val="009F3A3E"/>
    <w:rsid w:val="009F4CDA"/>
    <w:rsid w:val="009F5DBC"/>
    <w:rsid w:val="009F604C"/>
    <w:rsid w:val="009F7331"/>
    <w:rsid w:val="00A03243"/>
    <w:rsid w:val="00A03FEB"/>
    <w:rsid w:val="00A04A7E"/>
    <w:rsid w:val="00A05BB9"/>
    <w:rsid w:val="00A0631C"/>
    <w:rsid w:val="00A12F13"/>
    <w:rsid w:val="00A13749"/>
    <w:rsid w:val="00A1376C"/>
    <w:rsid w:val="00A13D87"/>
    <w:rsid w:val="00A16509"/>
    <w:rsid w:val="00A17ABA"/>
    <w:rsid w:val="00A23223"/>
    <w:rsid w:val="00A246A7"/>
    <w:rsid w:val="00A24B31"/>
    <w:rsid w:val="00A24D86"/>
    <w:rsid w:val="00A258EE"/>
    <w:rsid w:val="00A265E8"/>
    <w:rsid w:val="00A2699F"/>
    <w:rsid w:val="00A26F43"/>
    <w:rsid w:val="00A27728"/>
    <w:rsid w:val="00A31F78"/>
    <w:rsid w:val="00A3615A"/>
    <w:rsid w:val="00A36627"/>
    <w:rsid w:val="00A375FC"/>
    <w:rsid w:val="00A409FC"/>
    <w:rsid w:val="00A40E75"/>
    <w:rsid w:val="00A41EB2"/>
    <w:rsid w:val="00A421B2"/>
    <w:rsid w:val="00A43C8F"/>
    <w:rsid w:val="00A46638"/>
    <w:rsid w:val="00A504D1"/>
    <w:rsid w:val="00A5441E"/>
    <w:rsid w:val="00A54D91"/>
    <w:rsid w:val="00A54EE0"/>
    <w:rsid w:val="00A55469"/>
    <w:rsid w:val="00A56D39"/>
    <w:rsid w:val="00A60555"/>
    <w:rsid w:val="00A63FE7"/>
    <w:rsid w:val="00A64CB1"/>
    <w:rsid w:val="00A65635"/>
    <w:rsid w:val="00A6751A"/>
    <w:rsid w:val="00A67854"/>
    <w:rsid w:val="00A67C96"/>
    <w:rsid w:val="00A7071E"/>
    <w:rsid w:val="00A719E3"/>
    <w:rsid w:val="00A72597"/>
    <w:rsid w:val="00A74DB1"/>
    <w:rsid w:val="00A759C0"/>
    <w:rsid w:val="00A772D4"/>
    <w:rsid w:val="00A775E7"/>
    <w:rsid w:val="00A80F84"/>
    <w:rsid w:val="00A817B4"/>
    <w:rsid w:val="00A81A8E"/>
    <w:rsid w:val="00A844F0"/>
    <w:rsid w:val="00A845E0"/>
    <w:rsid w:val="00A84742"/>
    <w:rsid w:val="00A85FAE"/>
    <w:rsid w:val="00A86013"/>
    <w:rsid w:val="00A8788F"/>
    <w:rsid w:val="00A87FDB"/>
    <w:rsid w:val="00A92141"/>
    <w:rsid w:val="00A9295E"/>
    <w:rsid w:val="00A953B9"/>
    <w:rsid w:val="00A953F5"/>
    <w:rsid w:val="00A95E0A"/>
    <w:rsid w:val="00A975EB"/>
    <w:rsid w:val="00AA1BCD"/>
    <w:rsid w:val="00AA3529"/>
    <w:rsid w:val="00AA5B61"/>
    <w:rsid w:val="00AA5F4E"/>
    <w:rsid w:val="00AA650A"/>
    <w:rsid w:val="00AB0E7C"/>
    <w:rsid w:val="00AB12CD"/>
    <w:rsid w:val="00AB338A"/>
    <w:rsid w:val="00AB3B37"/>
    <w:rsid w:val="00AB4C41"/>
    <w:rsid w:val="00AB53E4"/>
    <w:rsid w:val="00AB78D4"/>
    <w:rsid w:val="00AC1537"/>
    <w:rsid w:val="00AC185C"/>
    <w:rsid w:val="00AC3E8B"/>
    <w:rsid w:val="00AC5F36"/>
    <w:rsid w:val="00AC6859"/>
    <w:rsid w:val="00AD1ABB"/>
    <w:rsid w:val="00AD1E4A"/>
    <w:rsid w:val="00AD4632"/>
    <w:rsid w:val="00AD5643"/>
    <w:rsid w:val="00AD643F"/>
    <w:rsid w:val="00AD64A8"/>
    <w:rsid w:val="00AD7C63"/>
    <w:rsid w:val="00AE0EE3"/>
    <w:rsid w:val="00AE1584"/>
    <w:rsid w:val="00AE1996"/>
    <w:rsid w:val="00AE2EF9"/>
    <w:rsid w:val="00AE3213"/>
    <w:rsid w:val="00AE46DA"/>
    <w:rsid w:val="00AE4AF8"/>
    <w:rsid w:val="00AE597E"/>
    <w:rsid w:val="00AE670C"/>
    <w:rsid w:val="00AE6B14"/>
    <w:rsid w:val="00AE7287"/>
    <w:rsid w:val="00AF0066"/>
    <w:rsid w:val="00AF0A1E"/>
    <w:rsid w:val="00AF1895"/>
    <w:rsid w:val="00AF32EE"/>
    <w:rsid w:val="00AF3E73"/>
    <w:rsid w:val="00AF4163"/>
    <w:rsid w:val="00AF649F"/>
    <w:rsid w:val="00AF70CE"/>
    <w:rsid w:val="00AF751F"/>
    <w:rsid w:val="00AF753D"/>
    <w:rsid w:val="00AF79DA"/>
    <w:rsid w:val="00AF7D4D"/>
    <w:rsid w:val="00B027EA"/>
    <w:rsid w:val="00B0343B"/>
    <w:rsid w:val="00B05ACA"/>
    <w:rsid w:val="00B05CF9"/>
    <w:rsid w:val="00B0672F"/>
    <w:rsid w:val="00B06CE9"/>
    <w:rsid w:val="00B07A53"/>
    <w:rsid w:val="00B113E0"/>
    <w:rsid w:val="00B12775"/>
    <w:rsid w:val="00B127D3"/>
    <w:rsid w:val="00B139B8"/>
    <w:rsid w:val="00B13CD9"/>
    <w:rsid w:val="00B15887"/>
    <w:rsid w:val="00B21430"/>
    <w:rsid w:val="00B21DD9"/>
    <w:rsid w:val="00B235BC"/>
    <w:rsid w:val="00B23ACC"/>
    <w:rsid w:val="00B2411B"/>
    <w:rsid w:val="00B243BF"/>
    <w:rsid w:val="00B246AB"/>
    <w:rsid w:val="00B246B2"/>
    <w:rsid w:val="00B24CE2"/>
    <w:rsid w:val="00B25F64"/>
    <w:rsid w:val="00B26397"/>
    <w:rsid w:val="00B27397"/>
    <w:rsid w:val="00B30C7F"/>
    <w:rsid w:val="00B31C81"/>
    <w:rsid w:val="00B31E2C"/>
    <w:rsid w:val="00B32915"/>
    <w:rsid w:val="00B33248"/>
    <w:rsid w:val="00B33302"/>
    <w:rsid w:val="00B33E04"/>
    <w:rsid w:val="00B36B58"/>
    <w:rsid w:val="00B37060"/>
    <w:rsid w:val="00B40B94"/>
    <w:rsid w:val="00B4136E"/>
    <w:rsid w:val="00B4212D"/>
    <w:rsid w:val="00B437D3"/>
    <w:rsid w:val="00B43F5C"/>
    <w:rsid w:val="00B44425"/>
    <w:rsid w:val="00B4478B"/>
    <w:rsid w:val="00B447FE"/>
    <w:rsid w:val="00B44F4F"/>
    <w:rsid w:val="00B468C4"/>
    <w:rsid w:val="00B46BC9"/>
    <w:rsid w:val="00B470FB"/>
    <w:rsid w:val="00B47773"/>
    <w:rsid w:val="00B50D4E"/>
    <w:rsid w:val="00B523D2"/>
    <w:rsid w:val="00B53444"/>
    <w:rsid w:val="00B56615"/>
    <w:rsid w:val="00B5721D"/>
    <w:rsid w:val="00B57AF5"/>
    <w:rsid w:val="00B61EDC"/>
    <w:rsid w:val="00B62EE2"/>
    <w:rsid w:val="00B631A4"/>
    <w:rsid w:val="00B63BD8"/>
    <w:rsid w:val="00B664F5"/>
    <w:rsid w:val="00B66B9B"/>
    <w:rsid w:val="00B6769D"/>
    <w:rsid w:val="00B678E8"/>
    <w:rsid w:val="00B67A02"/>
    <w:rsid w:val="00B70587"/>
    <w:rsid w:val="00B74B5F"/>
    <w:rsid w:val="00B7551C"/>
    <w:rsid w:val="00B770DA"/>
    <w:rsid w:val="00B77CB4"/>
    <w:rsid w:val="00B81BA8"/>
    <w:rsid w:val="00B8256C"/>
    <w:rsid w:val="00B826AF"/>
    <w:rsid w:val="00B83126"/>
    <w:rsid w:val="00B839EE"/>
    <w:rsid w:val="00B85197"/>
    <w:rsid w:val="00B86C83"/>
    <w:rsid w:val="00B87FB5"/>
    <w:rsid w:val="00B94964"/>
    <w:rsid w:val="00B94C7C"/>
    <w:rsid w:val="00B94E3F"/>
    <w:rsid w:val="00B95329"/>
    <w:rsid w:val="00B957E7"/>
    <w:rsid w:val="00B967B3"/>
    <w:rsid w:val="00BA0D0D"/>
    <w:rsid w:val="00BA5265"/>
    <w:rsid w:val="00BA61C0"/>
    <w:rsid w:val="00BA71BF"/>
    <w:rsid w:val="00BB0131"/>
    <w:rsid w:val="00BB0373"/>
    <w:rsid w:val="00BB181D"/>
    <w:rsid w:val="00BB1CE7"/>
    <w:rsid w:val="00BB4901"/>
    <w:rsid w:val="00BB4CB1"/>
    <w:rsid w:val="00BB4F1E"/>
    <w:rsid w:val="00BB60A5"/>
    <w:rsid w:val="00BB7415"/>
    <w:rsid w:val="00BB7B91"/>
    <w:rsid w:val="00BB7C9F"/>
    <w:rsid w:val="00BC013E"/>
    <w:rsid w:val="00BC06FF"/>
    <w:rsid w:val="00BC11C7"/>
    <w:rsid w:val="00BC5303"/>
    <w:rsid w:val="00BC5316"/>
    <w:rsid w:val="00BC5BF9"/>
    <w:rsid w:val="00BC61E2"/>
    <w:rsid w:val="00BC76FF"/>
    <w:rsid w:val="00BC79E2"/>
    <w:rsid w:val="00BD1EDC"/>
    <w:rsid w:val="00BD3877"/>
    <w:rsid w:val="00BD4E87"/>
    <w:rsid w:val="00BD53BB"/>
    <w:rsid w:val="00BD5438"/>
    <w:rsid w:val="00BD7E1E"/>
    <w:rsid w:val="00BD7FC1"/>
    <w:rsid w:val="00BE02D5"/>
    <w:rsid w:val="00BE0D54"/>
    <w:rsid w:val="00BE1E7A"/>
    <w:rsid w:val="00BE1F92"/>
    <w:rsid w:val="00BE61FB"/>
    <w:rsid w:val="00BF0615"/>
    <w:rsid w:val="00BF0CAB"/>
    <w:rsid w:val="00BF0FEC"/>
    <w:rsid w:val="00BF2ECC"/>
    <w:rsid w:val="00BF4270"/>
    <w:rsid w:val="00BF4994"/>
    <w:rsid w:val="00BF716F"/>
    <w:rsid w:val="00BF7BBC"/>
    <w:rsid w:val="00C0021C"/>
    <w:rsid w:val="00C006D2"/>
    <w:rsid w:val="00C01A34"/>
    <w:rsid w:val="00C023A7"/>
    <w:rsid w:val="00C10642"/>
    <w:rsid w:val="00C108CF"/>
    <w:rsid w:val="00C117E4"/>
    <w:rsid w:val="00C118B3"/>
    <w:rsid w:val="00C13506"/>
    <w:rsid w:val="00C13F1E"/>
    <w:rsid w:val="00C14D57"/>
    <w:rsid w:val="00C158EB"/>
    <w:rsid w:val="00C162CC"/>
    <w:rsid w:val="00C21EDE"/>
    <w:rsid w:val="00C2244E"/>
    <w:rsid w:val="00C2280A"/>
    <w:rsid w:val="00C22B11"/>
    <w:rsid w:val="00C247D4"/>
    <w:rsid w:val="00C248C3"/>
    <w:rsid w:val="00C24FF2"/>
    <w:rsid w:val="00C256A1"/>
    <w:rsid w:val="00C26505"/>
    <w:rsid w:val="00C33920"/>
    <w:rsid w:val="00C33AB3"/>
    <w:rsid w:val="00C34D14"/>
    <w:rsid w:val="00C35AA7"/>
    <w:rsid w:val="00C36073"/>
    <w:rsid w:val="00C36583"/>
    <w:rsid w:val="00C3663F"/>
    <w:rsid w:val="00C3711F"/>
    <w:rsid w:val="00C376D7"/>
    <w:rsid w:val="00C40BD2"/>
    <w:rsid w:val="00C4133D"/>
    <w:rsid w:val="00C41F3D"/>
    <w:rsid w:val="00C432A1"/>
    <w:rsid w:val="00C43E5A"/>
    <w:rsid w:val="00C45B84"/>
    <w:rsid w:val="00C45EFE"/>
    <w:rsid w:val="00C466D0"/>
    <w:rsid w:val="00C47490"/>
    <w:rsid w:val="00C503B0"/>
    <w:rsid w:val="00C51706"/>
    <w:rsid w:val="00C526F2"/>
    <w:rsid w:val="00C52B0D"/>
    <w:rsid w:val="00C534C4"/>
    <w:rsid w:val="00C55205"/>
    <w:rsid w:val="00C5792A"/>
    <w:rsid w:val="00C57FF0"/>
    <w:rsid w:val="00C62365"/>
    <w:rsid w:val="00C659F8"/>
    <w:rsid w:val="00C65F52"/>
    <w:rsid w:val="00C66222"/>
    <w:rsid w:val="00C668AA"/>
    <w:rsid w:val="00C66E7A"/>
    <w:rsid w:val="00C712A9"/>
    <w:rsid w:val="00C71F5A"/>
    <w:rsid w:val="00C72D30"/>
    <w:rsid w:val="00C74133"/>
    <w:rsid w:val="00C7682C"/>
    <w:rsid w:val="00C7751C"/>
    <w:rsid w:val="00C80779"/>
    <w:rsid w:val="00C8077F"/>
    <w:rsid w:val="00C830AA"/>
    <w:rsid w:val="00C83E4F"/>
    <w:rsid w:val="00C8419D"/>
    <w:rsid w:val="00C85A36"/>
    <w:rsid w:val="00C85C2D"/>
    <w:rsid w:val="00C87E27"/>
    <w:rsid w:val="00C87E57"/>
    <w:rsid w:val="00C92B1A"/>
    <w:rsid w:val="00C9751D"/>
    <w:rsid w:val="00CA0DC3"/>
    <w:rsid w:val="00CA2BB6"/>
    <w:rsid w:val="00CA350A"/>
    <w:rsid w:val="00CA4FA2"/>
    <w:rsid w:val="00CA7594"/>
    <w:rsid w:val="00CA7692"/>
    <w:rsid w:val="00CB2CDA"/>
    <w:rsid w:val="00CB6188"/>
    <w:rsid w:val="00CB626C"/>
    <w:rsid w:val="00CC0D37"/>
    <w:rsid w:val="00CC23E9"/>
    <w:rsid w:val="00CC2AC5"/>
    <w:rsid w:val="00CC3586"/>
    <w:rsid w:val="00CC6B13"/>
    <w:rsid w:val="00CC7C2A"/>
    <w:rsid w:val="00CD018F"/>
    <w:rsid w:val="00CD029F"/>
    <w:rsid w:val="00CD377D"/>
    <w:rsid w:val="00CD379F"/>
    <w:rsid w:val="00CD542F"/>
    <w:rsid w:val="00CD5E9C"/>
    <w:rsid w:val="00CD6278"/>
    <w:rsid w:val="00CE0657"/>
    <w:rsid w:val="00CE07C1"/>
    <w:rsid w:val="00CE24B1"/>
    <w:rsid w:val="00CE4D06"/>
    <w:rsid w:val="00CE5187"/>
    <w:rsid w:val="00CE6E06"/>
    <w:rsid w:val="00CF2B3D"/>
    <w:rsid w:val="00CF35E0"/>
    <w:rsid w:val="00CF413D"/>
    <w:rsid w:val="00CF52B7"/>
    <w:rsid w:val="00CF5A41"/>
    <w:rsid w:val="00CF76C9"/>
    <w:rsid w:val="00D00077"/>
    <w:rsid w:val="00D015E3"/>
    <w:rsid w:val="00D01B66"/>
    <w:rsid w:val="00D02E82"/>
    <w:rsid w:val="00D03E3E"/>
    <w:rsid w:val="00D0486C"/>
    <w:rsid w:val="00D068A3"/>
    <w:rsid w:val="00D07329"/>
    <w:rsid w:val="00D07A18"/>
    <w:rsid w:val="00D07F4F"/>
    <w:rsid w:val="00D115C1"/>
    <w:rsid w:val="00D12A78"/>
    <w:rsid w:val="00D13EEC"/>
    <w:rsid w:val="00D15042"/>
    <w:rsid w:val="00D20AB7"/>
    <w:rsid w:val="00D22416"/>
    <w:rsid w:val="00D22824"/>
    <w:rsid w:val="00D23941"/>
    <w:rsid w:val="00D24936"/>
    <w:rsid w:val="00D26AC9"/>
    <w:rsid w:val="00D27444"/>
    <w:rsid w:val="00D31B8D"/>
    <w:rsid w:val="00D32A03"/>
    <w:rsid w:val="00D32CE2"/>
    <w:rsid w:val="00D33BBD"/>
    <w:rsid w:val="00D3531D"/>
    <w:rsid w:val="00D35446"/>
    <w:rsid w:val="00D36070"/>
    <w:rsid w:val="00D36499"/>
    <w:rsid w:val="00D41888"/>
    <w:rsid w:val="00D41AC7"/>
    <w:rsid w:val="00D4253C"/>
    <w:rsid w:val="00D4358C"/>
    <w:rsid w:val="00D43E36"/>
    <w:rsid w:val="00D46347"/>
    <w:rsid w:val="00D47948"/>
    <w:rsid w:val="00D47D7A"/>
    <w:rsid w:val="00D5779D"/>
    <w:rsid w:val="00D600D4"/>
    <w:rsid w:val="00D60244"/>
    <w:rsid w:val="00D62427"/>
    <w:rsid w:val="00D6430E"/>
    <w:rsid w:val="00D67EF0"/>
    <w:rsid w:val="00D67FC4"/>
    <w:rsid w:val="00D706CC"/>
    <w:rsid w:val="00D70CAD"/>
    <w:rsid w:val="00D71335"/>
    <w:rsid w:val="00D72BD1"/>
    <w:rsid w:val="00D755A3"/>
    <w:rsid w:val="00D75D4D"/>
    <w:rsid w:val="00D7636F"/>
    <w:rsid w:val="00D8175C"/>
    <w:rsid w:val="00D833B2"/>
    <w:rsid w:val="00D856AA"/>
    <w:rsid w:val="00D85CF3"/>
    <w:rsid w:val="00D86072"/>
    <w:rsid w:val="00D862BC"/>
    <w:rsid w:val="00D87F54"/>
    <w:rsid w:val="00D90B53"/>
    <w:rsid w:val="00D9389D"/>
    <w:rsid w:val="00D93BEC"/>
    <w:rsid w:val="00D95D7B"/>
    <w:rsid w:val="00D967D6"/>
    <w:rsid w:val="00D96C12"/>
    <w:rsid w:val="00DA0ABC"/>
    <w:rsid w:val="00DA185C"/>
    <w:rsid w:val="00DA1E7B"/>
    <w:rsid w:val="00DA295D"/>
    <w:rsid w:val="00DA2A05"/>
    <w:rsid w:val="00DA2B3B"/>
    <w:rsid w:val="00DA5C2D"/>
    <w:rsid w:val="00DA5CBA"/>
    <w:rsid w:val="00DA6ADB"/>
    <w:rsid w:val="00DA7687"/>
    <w:rsid w:val="00DB31C9"/>
    <w:rsid w:val="00DB7925"/>
    <w:rsid w:val="00DC1CD4"/>
    <w:rsid w:val="00DC3616"/>
    <w:rsid w:val="00DC42FD"/>
    <w:rsid w:val="00DC5399"/>
    <w:rsid w:val="00DC79E8"/>
    <w:rsid w:val="00DD166E"/>
    <w:rsid w:val="00DD190E"/>
    <w:rsid w:val="00DD36EE"/>
    <w:rsid w:val="00DD5A7F"/>
    <w:rsid w:val="00DD67B8"/>
    <w:rsid w:val="00DD68D0"/>
    <w:rsid w:val="00DD6E52"/>
    <w:rsid w:val="00DD704E"/>
    <w:rsid w:val="00DD7C25"/>
    <w:rsid w:val="00DE3412"/>
    <w:rsid w:val="00DE3700"/>
    <w:rsid w:val="00DE434A"/>
    <w:rsid w:val="00DE5961"/>
    <w:rsid w:val="00DE5E31"/>
    <w:rsid w:val="00DE6597"/>
    <w:rsid w:val="00DE7442"/>
    <w:rsid w:val="00DF0655"/>
    <w:rsid w:val="00DF0CD3"/>
    <w:rsid w:val="00DF23FD"/>
    <w:rsid w:val="00DF249F"/>
    <w:rsid w:val="00DF393F"/>
    <w:rsid w:val="00DF400A"/>
    <w:rsid w:val="00DF5036"/>
    <w:rsid w:val="00DF695B"/>
    <w:rsid w:val="00DF7A2D"/>
    <w:rsid w:val="00DF7AF3"/>
    <w:rsid w:val="00E0067F"/>
    <w:rsid w:val="00E021A0"/>
    <w:rsid w:val="00E05E13"/>
    <w:rsid w:val="00E06C8E"/>
    <w:rsid w:val="00E06CC4"/>
    <w:rsid w:val="00E10BDF"/>
    <w:rsid w:val="00E13173"/>
    <w:rsid w:val="00E13841"/>
    <w:rsid w:val="00E14070"/>
    <w:rsid w:val="00E14E8D"/>
    <w:rsid w:val="00E1504E"/>
    <w:rsid w:val="00E16A6A"/>
    <w:rsid w:val="00E17A2D"/>
    <w:rsid w:val="00E17BB0"/>
    <w:rsid w:val="00E20E7F"/>
    <w:rsid w:val="00E24D9E"/>
    <w:rsid w:val="00E2702C"/>
    <w:rsid w:val="00E31EB3"/>
    <w:rsid w:val="00E329D6"/>
    <w:rsid w:val="00E32DD8"/>
    <w:rsid w:val="00E33A56"/>
    <w:rsid w:val="00E350A2"/>
    <w:rsid w:val="00E3529D"/>
    <w:rsid w:val="00E3586E"/>
    <w:rsid w:val="00E359D1"/>
    <w:rsid w:val="00E37905"/>
    <w:rsid w:val="00E401EC"/>
    <w:rsid w:val="00E40B26"/>
    <w:rsid w:val="00E42576"/>
    <w:rsid w:val="00E44467"/>
    <w:rsid w:val="00E45C31"/>
    <w:rsid w:val="00E46675"/>
    <w:rsid w:val="00E46C80"/>
    <w:rsid w:val="00E4750F"/>
    <w:rsid w:val="00E50845"/>
    <w:rsid w:val="00E5381E"/>
    <w:rsid w:val="00E53EC6"/>
    <w:rsid w:val="00E547D8"/>
    <w:rsid w:val="00E5480B"/>
    <w:rsid w:val="00E5655A"/>
    <w:rsid w:val="00E574F9"/>
    <w:rsid w:val="00E5754C"/>
    <w:rsid w:val="00E60708"/>
    <w:rsid w:val="00E609BD"/>
    <w:rsid w:val="00E620AB"/>
    <w:rsid w:val="00E628AB"/>
    <w:rsid w:val="00E62D2A"/>
    <w:rsid w:val="00E63745"/>
    <w:rsid w:val="00E647CB"/>
    <w:rsid w:val="00E65304"/>
    <w:rsid w:val="00E65E44"/>
    <w:rsid w:val="00E660AA"/>
    <w:rsid w:val="00E6758E"/>
    <w:rsid w:val="00E725E9"/>
    <w:rsid w:val="00E72FB5"/>
    <w:rsid w:val="00E75C9D"/>
    <w:rsid w:val="00E808B6"/>
    <w:rsid w:val="00E8165A"/>
    <w:rsid w:val="00E83794"/>
    <w:rsid w:val="00E85D31"/>
    <w:rsid w:val="00E86026"/>
    <w:rsid w:val="00E875C5"/>
    <w:rsid w:val="00E879D8"/>
    <w:rsid w:val="00E9042A"/>
    <w:rsid w:val="00E904C9"/>
    <w:rsid w:val="00E915CA"/>
    <w:rsid w:val="00E94303"/>
    <w:rsid w:val="00E944A4"/>
    <w:rsid w:val="00E9548F"/>
    <w:rsid w:val="00E97004"/>
    <w:rsid w:val="00EA0831"/>
    <w:rsid w:val="00EA0E4B"/>
    <w:rsid w:val="00EA1E5D"/>
    <w:rsid w:val="00EA2FF0"/>
    <w:rsid w:val="00EA4134"/>
    <w:rsid w:val="00EA503E"/>
    <w:rsid w:val="00EA68D3"/>
    <w:rsid w:val="00EA6CE7"/>
    <w:rsid w:val="00EA6F7E"/>
    <w:rsid w:val="00EB10D1"/>
    <w:rsid w:val="00EB1254"/>
    <w:rsid w:val="00EB12EC"/>
    <w:rsid w:val="00EB28A5"/>
    <w:rsid w:val="00EB2D10"/>
    <w:rsid w:val="00EB3692"/>
    <w:rsid w:val="00EB466B"/>
    <w:rsid w:val="00EB4990"/>
    <w:rsid w:val="00EB5498"/>
    <w:rsid w:val="00EB5BF5"/>
    <w:rsid w:val="00EB5FBB"/>
    <w:rsid w:val="00EB6268"/>
    <w:rsid w:val="00EC06B1"/>
    <w:rsid w:val="00EC06E8"/>
    <w:rsid w:val="00EC19BC"/>
    <w:rsid w:val="00EC30BE"/>
    <w:rsid w:val="00EC5944"/>
    <w:rsid w:val="00EC6157"/>
    <w:rsid w:val="00EC67B8"/>
    <w:rsid w:val="00EC6E55"/>
    <w:rsid w:val="00ED0EF4"/>
    <w:rsid w:val="00ED1C62"/>
    <w:rsid w:val="00ED200D"/>
    <w:rsid w:val="00ED4B5C"/>
    <w:rsid w:val="00EE11A2"/>
    <w:rsid w:val="00EE1CE6"/>
    <w:rsid w:val="00EE3982"/>
    <w:rsid w:val="00EE3D37"/>
    <w:rsid w:val="00EE426A"/>
    <w:rsid w:val="00EE53FD"/>
    <w:rsid w:val="00EE5857"/>
    <w:rsid w:val="00EE73A5"/>
    <w:rsid w:val="00EE7A30"/>
    <w:rsid w:val="00EE7A3D"/>
    <w:rsid w:val="00EF0083"/>
    <w:rsid w:val="00EF2484"/>
    <w:rsid w:val="00EF3239"/>
    <w:rsid w:val="00EF3C84"/>
    <w:rsid w:val="00EF3E58"/>
    <w:rsid w:val="00EF523C"/>
    <w:rsid w:val="00EF570A"/>
    <w:rsid w:val="00EF5986"/>
    <w:rsid w:val="00EF5D74"/>
    <w:rsid w:val="00EF5FD3"/>
    <w:rsid w:val="00EF60E9"/>
    <w:rsid w:val="00EF6F63"/>
    <w:rsid w:val="00F0012C"/>
    <w:rsid w:val="00F0077E"/>
    <w:rsid w:val="00F00B6C"/>
    <w:rsid w:val="00F015A5"/>
    <w:rsid w:val="00F0327D"/>
    <w:rsid w:val="00F040D9"/>
    <w:rsid w:val="00F04540"/>
    <w:rsid w:val="00F049AE"/>
    <w:rsid w:val="00F10487"/>
    <w:rsid w:val="00F1105B"/>
    <w:rsid w:val="00F1390B"/>
    <w:rsid w:val="00F13CA9"/>
    <w:rsid w:val="00F140FA"/>
    <w:rsid w:val="00F14E94"/>
    <w:rsid w:val="00F15539"/>
    <w:rsid w:val="00F168B7"/>
    <w:rsid w:val="00F17420"/>
    <w:rsid w:val="00F17718"/>
    <w:rsid w:val="00F23356"/>
    <w:rsid w:val="00F27168"/>
    <w:rsid w:val="00F27987"/>
    <w:rsid w:val="00F27A1B"/>
    <w:rsid w:val="00F30919"/>
    <w:rsid w:val="00F361B6"/>
    <w:rsid w:val="00F36EEC"/>
    <w:rsid w:val="00F37273"/>
    <w:rsid w:val="00F3782C"/>
    <w:rsid w:val="00F40D49"/>
    <w:rsid w:val="00F40FA5"/>
    <w:rsid w:val="00F425A9"/>
    <w:rsid w:val="00F4458D"/>
    <w:rsid w:val="00F44735"/>
    <w:rsid w:val="00F45BAC"/>
    <w:rsid w:val="00F5150E"/>
    <w:rsid w:val="00F52F91"/>
    <w:rsid w:val="00F546E5"/>
    <w:rsid w:val="00F552E8"/>
    <w:rsid w:val="00F571CA"/>
    <w:rsid w:val="00F62017"/>
    <w:rsid w:val="00F623F3"/>
    <w:rsid w:val="00F63263"/>
    <w:rsid w:val="00F63B6D"/>
    <w:rsid w:val="00F63D74"/>
    <w:rsid w:val="00F64177"/>
    <w:rsid w:val="00F64797"/>
    <w:rsid w:val="00F652DD"/>
    <w:rsid w:val="00F65AAA"/>
    <w:rsid w:val="00F6607E"/>
    <w:rsid w:val="00F669A0"/>
    <w:rsid w:val="00F67086"/>
    <w:rsid w:val="00F675C6"/>
    <w:rsid w:val="00F70890"/>
    <w:rsid w:val="00F708E0"/>
    <w:rsid w:val="00F7144D"/>
    <w:rsid w:val="00F71BCF"/>
    <w:rsid w:val="00F71C8C"/>
    <w:rsid w:val="00F72E70"/>
    <w:rsid w:val="00F7469E"/>
    <w:rsid w:val="00F758A6"/>
    <w:rsid w:val="00F764B1"/>
    <w:rsid w:val="00F770DE"/>
    <w:rsid w:val="00F7750F"/>
    <w:rsid w:val="00F810BF"/>
    <w:rsid w:val="00F81351"/>
    <w:rsid w:val="00F8341F"/>
    <w:rsid w:val="00F83CE5"/>
    <w:rsid w:val="00F84749"/>
    <w:rsid w:val="00F86ABA"/>
    <w:rsid w:val="00F879A7"/>
    <w:rsid w:val="00F87D07"/>
    <w:rsid w:val="00F91D6E"/>
    <w:rsid w:val="00F92C0B"/>
    <w:rsid w:val="00F932DD"/>
    <w:rsid w:val="00F933AD"/>
    <w:rsid w:val="00F934C1"/>
    <w:rsid w:val="00F94777"/>
    <w:rsid w:val="00F95726"/>
    <w:rsid w:val="00F965C2"/>
    <w:rsid w:val="00FA0344"/>
    <w:rsid w:val="00FA0A6A"/>
    <w:rsid w:val="00FA12C0"/>
    <w:rsid w:val="00FA1D30"/>
    <w:rsid w:val="00FA3110"/>
    <w:rsid w:val="00FA51A3"/>
    <w:rsid w:val="00FA64E5"/>
    <w:rsid w:val="00FB132F"/>
    <w:rsid w:val="00FB1940"/>
    <w:rsid w:val="00FB208C"/>
    <w:rsid w:val="00FB45E9"/>
    <w:rsid w:val="00FB6216"/>
    <w:rsid w:val="00FB696B"/>
    <w:rsid w:val="00FB6A30"/>
    <w:rsid w:val="00FB6EBB"/>
    <w:rsid w:val="00FC0D39"/>
    <w:rsid w:val="00FC2013"/>
    <w:rsid w:val="00FC23C9"/>
    <w:rsid w:val="00FC23D0"/>
    <w:rsid w:val="00FC7AD5"/>
    <w:rsid w:val="00FD0191"/>
    <w:rsid w:val="00FD1621"/>
    <w:rsid w:val="00FD1F8C"/>
    <w:rsid w:val="00FD3D31"/>
    <w:rsid w:val="00FD4012"/>
    <w:rsid w:val="00FD5E66"/>
    <w:rsid w:val="00FD603C"/>
    <w:rsid w:val="00FE01E6"/>
    <w:rsid w:val="00FE1039"/>
    <w:rsid w:val="00FE5197"/>
    <w:rsid w:val="00FE7BC1"/>
    <w:rsid w:val="00FF06F8"/>
    <w:rsid w:val="00FF13CC"/>
    <w:rsid w:val="00FF18C6"/>
    <w:rsid w:val="00FF1F45"/>
    <w:rsid w:val="00FF264A"/>
    <w:rsid w:val="00FF5741"/>
    <w:rsid w:val="00FF7B64"/>
    <w:rsid w:val="00FF7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38E"/>
    <w:pPr>
      <w:bidi/>
      <w:spacing w:line="300" w:lineRule="auto"/>
      <w:ind w:left="40" w:right="142"/>
    </w:pPr>
    <w:rPr>
      <w:rFonts w:ascii="Arial" w:hAnsi="Arial" w:cs="Arial"/>
      <w:sz w:val="24"/>
      <w:szCs w:val="24"/>
    </w:rPr>
  </w:style>
  <w:style w:type="paragraph" w:styleId="1">
    <w:name w:val="heading 1"/>
    <w:basedOn w:val="2"/>
    <w:next w:val="a"/>
    <w:qFormat/>
    <w:rsid w:val="00A953F5"/>
    <w:pPr>
      <w:bidi w:val="0"/>
      <w:jc w:val="center"/>
      <w:outlineLvl w:val="0"/>
    </w:pPr>
  </w:style>
  <w:style w:type="paragraph" w:styleId="2">
    <w:name w:val="heading 2"/>
    <w:basedOn w:val="3"/>
    <w:next w:val="a"/>
    <w:qFormat/>
    <w:rsid w:val="00E4750F"/>
    <w:pPr>
      <w:spacing w:before="40"/>
      <w:outlineLvl w:val="1"/>
    </w:pPr>
    <w:rPr>
      <w:sz w:val="26"/>
      <w:szCs w:val="28"/>
    </w:rPr>
  </w:style>
  <w:style w:type="paragraph" w:styleId="3">
    <w:name w:val="heading 3"/>
    <w:basedOn w:val="a0"/>
    <w:next w:val="a"/>
    <w:qFormat/>
    <w:rsid w:val="00703DE4"/>
    <w:pPr>
      <w:spacing w:before="240"/>
      <w:ind w:left="0"/>
      <w:jc w:val="left"/>
      <w:outlineLvl w:val="2"/>
    </w:pPr>
    <w:rPr>
      <w:b w:val="0"/>
      <w:sz w:val="24"/>
      <w:szCs w:val="26"/>
    </w:rPr>
  </w:style>
  <w:style w:type="paragraph" w:styleId="4">
    <w:name w:val="heading 4"/>
    <w:basedOn w:val="a0"/>
    <w:next w:val="a"/>
    <w:qFormat/>
    <w:rsid w:val="00337559"/>
    <w:pPr>
      <w:jc w:val="left"/>
      <w:outlineLvl w:val="3"/>
    </w:pPr>
    <w:rPr>
      <w:b w:val="0"/>
      <w:sz w:val="24"/>
    </w:rPr>
  </w:style>
  <w:style w:type="paragraph" w:styleId="5">
    <w:name w:val="heading 5"/>
    <w:basedOn w:val="a"/>
    <w:next w:val="a"/>
    <w:qFormat/>
    <w:pPr>
      <w:keepNext/>
      <w:spacing w:line="360" w:lineRule="auto"/>
      <w:jc w:val="both"/>
      <w:outlineLvl w:val="4"/>
    </w:pPr>
    <w:rPr>
      <w:color w:val="0000FF"/>
      <w:u w:val="single"/>
    </w:rPr>
  </w:style>
  <w:style w:type="paragraph" w:styleId="6">
    <w:name w:val="heading 6"/>
    <w:basedOn w:val="a"/>
    <w:next w:val="a"/>
    <w:qFormat/>
    <w:pPr>
      <w:keepNext/>
      <w:spacing w:line="360" w:lineRule="auto"/>
      <w:outlineLvl w:val="5"/>
    </w:pPr>
    <w:rPr>
      <w:sz w:val="32"/>
      <w:szCs w:val="32"/>
    </w:rPr>
  </w:style>
  <w:style w:type="paragraph" w:styleId="7">
    <w:name w:val="heading 7"/>
    <w:basedOn w:val="a"/>
    <w:next w:val="a"/>
    <w:qFormat/>
    <w:pPr>
      <w:keepNext/>
      <w:outlineLvl w:val="6"/>
    </w:pPr>
    <w:rPr>
      <w:b/>
      <w:bCs/>
      <w:sz w:val="26"/>
      <w:u w:val="single"/>
    </w:rPr>
  </w:style>
  <w:style w:type="paragraph" w:styleId="8">
    <w:name w:val="heading 8"/>
    <w:basedOn w:val="a"/>
    <w:next w:val="a"/>
    <w:qFormat/>
    <w:pPr>
      <w:keepNext/>
      <w:spacing w:line="360" w:lineRule="auto"/>
      <w:outlineLvl w:val="7"/>
    </w:pPr>
    <w:rPr>
      <w:sz w:val="28"/>
      <w:szCs w:val="28"/>
      <w:u w:val="single"/>
    </w:rPr>
  </w:style>
  <w:style w:type="paragraph" w:styleId="9">
    <w:name w:val="heading 9"/>
    <w:basedOn w:val="a"/>
    <w:next w:val="a"/>
    <w:qFormat/>
    <w:pPr>
      <w:keepNext/>
      <w:spacing w:line="360" w:lineRule="auto"/>
      <w:jc w:val="center"/>
      <w:outlineLvl w:val="8"/>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Hyperlink">
    <w:name w:val="Hyperlink"/>
    <w:rPr>
      <w:color w:val="0000FF"/>
      <w:u w:val="single"/>
    </w:rPr>
  </w:style>
  <w:style w:type="paragraph" w:styleId="a8">
    <w:name w:val="Balloon Text"/>
    <w:basedOn w:val="a"/>
    <w:semiHidden/>
    <w:rPr>
      <w:rFonts w:ascii="Tahoma" w:hAnsi="Tahoma" w:cs="Tahoma"/>
      <w:sz w:val="16"/>
      <w:szCs w:val="16"/>
    </w:rPr>
  </w:style>
  <w:style w:type="paragraph" w:customStyle="1" w:styleId="10">
    <w:name w:val="סגנון1"/>
    <w:basedOn w:val="a"/>
    <w:pPr>
      <w:spacing w:before="120" w:line="360" w:lineRule="auto"/>
      <w:ind w:right="340"/>
      <w:jc w:val="both"/>
    </w:pPr>
    <w:rPr>
      <w:b/>
      <w:bCs/>
      <w:sz w:val="20"/>
    </w:rPr>
  </w:style>
  <w:style w:type="paragraph" w:styleId="a9">
    <w:name w:val="Title"/>
    <w:basedOn w:val="a"/>
    <w:qFormat/>
    <w:pPr>
      <w:spacing w:line="360" w:lineRule="auto"/>
      <w:jc w:val="center"/>
    </w:pPr>
    <w:rPr>
      <w:rFonts w:cs="Narkisim"/>
      <w:b/>
      <w:bCs/>
      <w:snapToGrid w:val="0"/>
      <w:sz w:val="20"/>
      <w:szCs w:val="32"/>
      <w:u w:val="single"/>
    </w:rPr>
  </w:style>
  <w:style w:type="paragraph" w:styleId="aa">
    <w:name w:val="Subtitle"/>
    <w:basedOn w:val="a"/>
    <w:qFormat/>
    <w:rsid w:val="00F5150E"/>
    <w:pPr>
      <w:spacing w:line="360" w:lineRule="auto"/>
      <w:jc w:val="center"/>
    </w:pPr>
    <w:rPr>
      <w:b/>
      <w:bCs/>
      <w:snapToGrid w:val="0"/>
    </w:rPr>
  </w:style>
  <w:style w:type="paragraph" w:styleId="20">
    <w:name w:val="Body Text 2"/>
    <w:basedOn w:val="a"/>
    <w:pPr>
      <w:spacing w:line="360" w:lineRule="auto"/>
      <w:jc w:val="both"/>
    </w:pPr>
    <w:rPr>
      <w:b/>
      <w:bCs/>
      <w:sz w:val="26"/>
    </w:rPr>
  </w:style>
  <w:style w:type="paragraph" w:styleId="ab">
    <w:name w:val="footnote text"/>
    <w:basedOn w:val="a"/>
    <w:link w:val="ac"/>
    <w:semiHidden/>
    <w:rPr>
      <w:rFonts w:cs="Times New Roman"/>
      <w:b/>
      <w:bCs/>
      <w:sz w:val="20"/>
      <w:szCs w:val="20"/>
      <w:lang w:val="x-none"/>
    </w:rPr>
  </w:style>
  <w:style w:type="character" w:styleId="ad">
    <w:name w:val="footnote reference"/>
    <w:semiHidden/>
    <w:rPr>
      <w:vertAlign w:val="superscript"/>
    </w:rPr>
  </w:style>
  <w:style w:type="paragraph" w:styleId="ae">
    <w:name w:val="Body Text"/>
    <w:basedOn w:val="a"/>
    <w:pPr>
      <w:spacing w:after="120"/>
    </w:pPr>
  </w:style>
  <w:style w:type="paragraph" w:customStyle="1" w:styleId="21">
    <w:name w:val="סגנון2"/>
    <w:pPr>
      <w:spacing w:after="240" w:line="360" w:lineRule="auto"/>
      <w:jc w:val="both"/>
    </w:pPr>
    <w:rPr>
      <w:rFonts w:cs="David"/>
      <w:szCs w:val="24"/>
      <w:lang w:eastAsia="he-IL"/>
    </w:rPr>
  </w:style>
  <w:style w:type="character" w:styleId="af">
    <w:name w:val="page number"/>
    <w:basedOn w:val="a1"/>
  </w:style>
  <w:style w:type="paragraph" w:styleId="a0">
    <w:name w:val="Block Text"/>
    <w:basedOn w:val="a"/>
    <w:pPr>
      <w:spacing w:line="360" w:lineRule="auto"/>
      <w:jc w:val="both"/>
    </w:pPr>
    <w:rPr>
      <w:b/>
      <w:bCs/>
      <w:sz w:val="26"/>
    </w:rPr>
  </w:style>
  <w:style w:type="paragraph" w:customStyle="1" w:styleId="af0">
    <w:name w:val="פסקה"/>
    <w:basedOn w:val="a"/>
    <w:pPr>
      <w:spacing w:before="120" w:line="300" w:lineRule="atLeast"/>
      <w:ind w:left="737"/>
      <w:jc w:val="both"/>
    </w:pPr>
    <w:rPr>
      <w:b/>
      <w:bCs/>
    </w:rPr>
  </w:style>
  <w:style w:type="paragraph" w:styleId="30">
    <w:name w:val="Body Text 3"/>
    <w:basedOn w:val="a"/>
    <w:pPr>
      <w:spacing w:line="360" w:lineRule="auto"/>
    </w:pPr>
    <w:rPr>
      <w:b/>
      <w:bCs/>
      <w:sz w:val="26"/>
    </w:rPr>
  </w:style>
  <w:style w:type="paragraph" w:styleId="af1">
    <w:name w:val="endnote text"/>
    <w:basedOn w:val="a"/>
    <w:semiHidden/>
    <w:rPr>
      <w:rFonts w:cs="Miriam"/>
      <w:b/>
      <w:bCs/>
      <w:sz w:val="20"/>
      <w:szCs w:val="20"/>
    </w:rPr>
  </w:style>
  <w:style w:type="character" w:styleId="af2">
    <w:name w:val="annotation reference"/>
    <w:semiHidden/>
    <w:rsid w:val="00C247D4"/>
    <w:rPr>
      <w:sz w:val="16"/>
      <w:szCs w:val="16"/>
    </w:rPr>
  </w:style>
  <w:style w:type="paragraph" w:customStyle="1" w:styleId="af3">
    <w:name w:val="טקסט"/>
    <w:basedOn w:val="a"/>
    <w:pPr>
      <w:spacing w:before="120" w:line="360" w:lineRule="auto"/>
      <w:jc w:val="both"/>
    </w:pPr>
    <w:rPr>
      <w:rFonts w:ascii="Times New (W1)" w:hAnsi="Times New (W1)"/>
      <w:b/>
      <w:bCs/>
    </w:rPr>
  </w:style>
  <w:style w:type="paragraph" w:styleId="af4">
    <w:name w:val="caption"/>
    <w:basedOn w:val="a"/>
    <w:next w:val="a"/>
    <w:qFormat/>
    <w:pPr>
      <w:spacing w:before="120" w:after="120"/>
    </w:pPr>
    <w:rPr>
      <w:rFonts w:cs="Times New Roman"/>
      <w:sz w:val="20"/>
      <w:szCs w:val="20"/>
    </w:rPr>
  </w:style>
  <w:style w:type="paragraph" w:customStyle="1" w:styleId="11">
    <w:name w:val="פסקה1"/>
    <w:basedOn w:val="a"/>
    <w:pPr>
      <w:tabs>
        <w:tab w:val="left" w:pos="851"/>
      </w:tabs>
      <w:spacing w:before="120" w:line="300" w:lineRule="atLeast"/>
      <w:ind w:left="738" w:hanging="284"/>
      <w:jc w:val="both"/>
    </w:pPr>
    <w:rPr>
      <w:b/>
      <w:bCs/>
    </w:rPr>
  </w:style>
  <w:style w:type="paragraph" w:styleId="af5">
    <w:name w:val="annotation text"/>
    <w:basedOn w:val="a"/>
    <w:semiHidden/>
    <w:rsid w:val="00C247D4"/>
    <w:rPr>
      <w:sz w:val="20"/>
      <w:szCs w:val="20"/>
    </w:rPr>
  </w:style>
  <w:style w:type="paragraph" w:styleId="af6">
    <w:name w:val="annotation subject"/>
    <w:basedOn w:val="af5"/>
    <w:next w:val="af5"/>
    <w:semiHidden/>
    <w:rsid w:val="00C247D4"/>
  </w:style>
  <w:style w:type="character" w:customStyle="1" w:styleId="ac">
    <w:name w:val="טקסט הערת שוליים תו"/>
    <w:link w:val="ab"/>
    <w:semiHidden/>
    <w:locked/>
    <w:rsid w:val="0011024F"/>
    <w:rPr>
      <w:lang w:eastAsia="he-IL"/>
    </w:rPr>
  </w:style>
  <w:style w:type="character" w:styleId="FollowedHyperlink">
    <w:name w:val="FollowedHyperlink"/>
    <w:rsid w:val="00F92C0B"/>
    <w:rPr>
      <w:color w:val="800080"/>
      <w:u w:val="single"/>
    </w:rPr>
  </w:style>
  <w:style w:type="character" w:customStyle="1" w:styleId="shorttext">
    <w:name w:val="short_text"/>
    <w:rsid w:val="00FF06F8"/>
  </w:style>
  <w:style w:type="character" w:customStyle="1" w:styleId="a5">
    <w:name w:val="כותרת עליונה תו"/>
    <w:link w:val="a4"/>
    <w:rsid w:val="00EA2FF0"/>
    <w:rPr>
      <w:rFonts w:cs="David"/>
      <w:b/>
      <w:bCs/>
      <w:sz w:val="24"/>
      <w:szCs w:val="26"/>
      <w:lang w:eastAsia="he-IL"/>
    </w:rPr>
  </w:style>
  <w:style w:type="character" w:customStyle="1" w:styleId="a7">
    <w:name w:val="כותרת תחתונה תו"/>
    <w:link w:val="a6"/>
    <w:uiPriority w:val="99"/>
    <w:rsid w:val="00EA2FF0"/>
    <w:rPr>
      <w:rFonts w:cs="David"/>
      <w:b/>
      <w:bCs/>
      <w:sz w:val="24"/>
      <w:szCs w:val="26"/>
      <w:lang w:eastAsia="he-IL"/>
    </w:rPr>
  </w:style>
  <w:style w:type="paragraph" w:styleId="af7">
    <w:name w:val="List Paragraph"/>
    <w:basedOn w:val="a"/>
    <w:uiPriority w:val="34"/>
    <w:qFormat/>
    <w:rsid w:val="002A2862"/>
    <w:pPr>
      <w:ind w:left="720"/>
    </w:pPr>
  </w:style>
  <w:style w:type="paragraph" w:styleId="NormalWeb">
    <w:name w:val="Normal (Web)"/>
    <w:basedOn w:val="a"/>
    <w:uiPriority w:val="99"/>
    <w:unhideWhenUsed/>
    <w:rsid w:val="00C668AA"/>
    <w:pPr>
      <w:bidi w:val="0"/>
      <w:spacing w:before="100" w:beforeAutospacing="1" w:after="100" w:afterAutospacing="1"/>
    </w:pPr>
    <w:rPr>
      <w:rFonts w:cs="Times New Roman"/>
      <w:b/>
      <w:bCs/>
    </w:rPr>
  </w:style>
  <w:style w:type="table" w:styleId="af8">
    <w:name w:val="Table Grid"/>
    <w:basedOn w:val="a2"/>
    <w:rsid w:val="005D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semiHidden/>
    <w:unhideWhenUsed/>
    <w:qFormat/>
    <w:rsid w:val="00793B82"/>
    <w:pPr>
      <w:keepNext/>
      <w:keepLines/>
      <w:bidi/>
      <w:spacing w:before="480" w:line="276" w:lineRule="auto"/>
      <w:ind w:right="0"/>
      <w:jc w:val="left"/>
      <w:outlineLvl w:val="9"/>
    </w:pPr>
    <w:rPr>
      <w:rFonts w:ascii="Cambria" w:hAnsi="Cambria" w:cs="Times New Roman"/>
      <w:color w:val="365F91"/>
      <w:sz w:val="28"/>
      <w:rtl/>
      <w:cs/>
    </w:rPr>
  </w:style>
  <w:style w:type="paragraph" w:styleId="TOC1">
    <w:name w:val="toc 1"/>
    <w:basedOn w:val="a"/>
    <w:next w:val="a"/>
    <w:autoRedefine/>
    <w:uiPriority w:val="39"/>
    <w:rsid w:val="00793B82"/>
  </w:style>
  <w:style w:type="paragraph" w:styleId="TOC2">
    <w:name w:val="toc 2"/>
    <w:basedOn w:val="a"/>
    <w:next w:val="a"/>
    <w:autoRedefine/>
    <w:uiPriority w:val="39"/>
    <w:rsid w:val="00793B82"/>
    <w:pPr>
      <w:ind w:left="240"/>
    </w:pPr>
  </w:style>
  <w:style w:type="paragraph" w:styleId="TOC3">
    <w:name w:val="toc 3"/>
    <w:basedOn w:val="a"/>
    <w:next w:val="a"/>
    <w:autoRedefine/>
    <w:uiPriority w:val="39"/>
    <w:rsid w:val="00793B82"/>
    <w:pPr>
      <w:ind w:left="480"/>
    </w:pPr>
  </w:style>
  <w:style w:type="character" w:styleId="afa">
    <w:name w:val="Strong"/>
    <w:rsid w:val="008D5375"/>
    <w:rPr>
      <w:rFonts w:cstheme="minorBidi"/>
      <w:bCs/>
      <w:szCs w:val="24"/>
    </w:rPr>
  </w:style>
  <w:style w:type="character" w:styleId="afb">
    <w:name w:val="Emphasis"/>
    <w:basedOn w:val="a1"/>
    <w:qFormat/>
    <w:rsid w:val="008D5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38E"/>
    <w:pPr>
      <w:bidi/>
      <w:spacing w:line="300" w:lineRule="auto"/>
      <w:ind w:left="40" w:right="142"/>
    </w:pPr>
    <w:rPr>
      <w:rFonts w:ascii="Arial" w:hAnsi="Arial" w:cs="Arial"/>
      <w:sz w:val="24"/>
      <w:szCs w:val="24"/>
    </w:rPr>
  </w:style>
  <w:style w:type="paragraph" w:styleId="1">
    <w:name w:val="heading 1"/>
    <w:basedOn w:val="2"/>
    <w:next w:val="a"/>
    <w:qFormat/>
    <w:rsid w:val="00A953F5"/>
    <w:pPr>
      <w:bidi w:val="0"/>
      <w:jc w:val="center"/>
      <w:outlineLvl w:val="0"/>
    </w:pPr>
  </w:style>
  <w:style w:type="paragraph" w:styleId="2">
    <w:name w:val="heading 2"/>
    <w:basedOn w:val="3"/>
    <w:next w:val="a"/>
    <w:qFormat/>
    <w:rsid w:val="00E4750F"/>
    <w:pPr>
      <w:spacing w:before="40"/>
      <w:outlineLvl w:val="1"/>
    </w:pPr>
    <w:rPr>
      <w:sz w:val="26"/>
      <w:szCs w:val="28"/>
    </w:rPr>
  </w:style>
  <w:style w:type="paragraph" w:styleId="3">
    <w:name w:val="heading 3"/>
    <w:basedOn w:val="a0"/>
    <w:next w:val="a"/>
    <w:qFormat/>
    <w:rsid w:val="00703DE4"/>
    <w:pPr>
      <w:spacing w:before="240"/>
      <w:ind w:left="0"/>
      <w:jc w:val="left"/>
      <w:outlineLvl w:val="2"/>
    </w:pPr>
    <w:rPr>
      <w:b w:val="0"/>
      <w:sz w:val="24"/>
      <w:szCs w:val="26"/>
    </w:rPr>
  </w:style>
  <w:style w:type="paragraph" w:styleId="4">
    <w:name w:val="heading 4"/>
    <w:basedOn w:val="a0"/>
    <w:next w:val="a"/>
    <w:qFormat/>
    <w:rsid w:val="00337559"/>
    <w:pPr>
      <w:jc w:val="left"/>
      <w:outlineLvl w:val="3"/>
    </w:pPr>
    <w:rPr>
      <w:b w:val="0"/>
      <w:sz w:val="24"/>
    </w:rPr>
  </w:style>
  <w:style w:type="paragraph" w:styleId="5">
    <w:name w:val="heading 5"/>
    <w:basedOn w:val="a"/>
    <w:next w:val="a"/>
    <w:qFormat/>
    <w:pPr>
      <w:keepNext/>
      <w:spacing w:line="360" w:lineRule="auto"/>
      <w:jc w:val="both"/>
      <w:outlineLvl w:val="4"/>
    </w:pPr>
    <w:rPr>
      <w:color w:val="0000FF"/>
      <w:u w:val="single"/>
    </w:rPr>
  </w:style>
  <w:style w:type="paragraph" w:styleId="6">
    <w:name w:val="heading 6"/>
    <w:basedOn w:val="a"/>
    <w:next w:val="a"/>
    <w:qFormat/>
    <w:pPr>
      <w:keepNext/>
      <w:spacing w:line="360" w:lineRule="auto"/>
      <w:outlineLvl w:val="5"/>
    </w:pPr>
    <w:rPr>
      <w:sz w:val="32"/>
      <w:szCs w:val="32"/>
    </w:rPr>
  </w:style>
  <w:style w:type="paragraph" w:styleId="7">
    <w:name w:val="heading 7"/>
    <w:basedOn w:val="a"/>
    <w:next w:val="a"/>
    <w:qFormat/>
    <w:pPr>
      <w:keepNext/>
      <w:outlineLvl w:val="6"/>
    </w:pPr>
    <w:rPr>
      <w:b/>
      <w:bCs/>
      <w:sz w:val="26"/>
      <w:u w:val="single"/>
    </w:rPr>
  </w:style>
  <w:style w:type="paragraph" w:styleId="8">
    <w:name w:val="heading 8"/>
    <w:basedOn w:val="a"/>
    <w:next w:val="a"/>
    <w:qFormat/>
    <w:pPr>
      <w:keepNext/>
      <w:spacing w:line="360" w:lineRule="auto"/>
      <w:outlineLvl w:val="7"/>
    </w:pPr>
    <w:rPr>
      <w:sz w:val="28"/>
      <w:szCs w:val="28"/>
      <w:u w:val="single"/>
    </w:rPr>
  </w:style>
  <w:style w:type="paragraph" w:styleId="9">
    <w:name w:val="heading 9"/>
    <w:basedOn w:val="a"/>
    <w:next w:val="a"/>
    <w:qFormat/>
    <w:pPr>
      <w:keepNext/>
      <w:spacing w:line="360" w:lineRule="auto"/>
      <w:jc w:val="center"/>
      <w:outlineLvl w:val="8"/>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Hyperlink">
    <w:name w:val="Hyperlink"/>
    <w:rPr>
      <w:color w:val="0000FF"/>
      <w:u w:val="single"/>
    </w:rPr>
  </w:style>
  <w:style w:type="paragraph" w:styleId="a8">
    <w:name w:val="Balloon Text"/>
    <w:basedOn w:val="a"/>
    <w:semiHidden/>
    <w:rPr>
      <w:rFonts w:ascii="Tahoma" w:hAnsi="Tahoma" w:cs="Tahoma"/>
      <w:sz w:val="16"/>
      <w:szCs w:val="16"/>
    </w:rPr>
  </w:style>
  <w:style w:type="paragraph" w:customStyle="1" w:styleId="10">
    <w:name w:val="סגנון1"/>
    <w:basedOn w:val="a"/>
    <w:pPr>
      <w:spacing w:before="120" w:line="360" w:lineRule="auto"/>
      <w:ind w:right="340"/>
      <w:jc w:val="both"/>
    </w:pPr>
    <w:rPr>
      <w:b/>
      <w:bCs/>
      <w:sz w:val="20"/>
    </w:rPr>
  </w:style>
  <w:style w:type="paragraph" w:styleId="a9">
    <w:name w:val="Title"/>
    <w:basedOn w:val="a"/>
    <w:qFormat/>
    <w:pPr>
      <w:spacing w:line="360" w:lineRule="auto"/>
      <w:jc w:val="center"/>
    </w:pPr>
    <w:rPr>
      <w:rFonts w:cs="Narkisim"/>
      <w:b/>
      <w:bCs/>
      <w:snapToGrid w:val="0"/>
      <w:sz w:val="20"/>
      <w:szCs w:val="32"/>
      <w:u w:val="single"/>
    </w:rPr>
  </w:style>
  <w:style w:type="paragraph" w:styleId="aa">
    <w:name w:val="Subtitle"/>
    <w:basedOn w:val="a"/>
    <w:qFormat/>
    <w:rsid w:val="00F5150E"/>
    <w:pPr>
      <w:spacing w:line="360" w:lineRule="auto"/>
      <w:jc w:val="center"/>
    </w:pPr>
    <w:rPr>
      <w:b/>
      <w:bCs/>
      <w:snapToGrid w:val="0"/>
    </w:rPr>
  </w:style>
  <w:style w:type="paragraph" w:styleId="20">
    <w:name w:val="Body Text 2"/>
    <w:basedOn w:val="a"/>
    <w:pPr>
      <w:spacing w:line="360" w:lineRule="auto"/>
      <w:jc w:val="both"/>
    </w:pPr>
    <w:rPr>
      <w:b/>
      <w:bCs/>
      <w:sz w:val="26"/>
    </w:rPr>
  </w:style>
  <w:style w:type="paragraph" w:styleId="ab">
    <w:name w:val="footnote text"/>
    <w:basedOn w:val="a"/>
    <w:link w:val="ac"/>
    <w:semiHidden/>
    <w:rPr>
      <w:rFonts w:cs="Times New Roman"/>
      <w:b/>
      <w:bCs/>
      <w:sz w:val="20"/>
      <w:szCs w:val="20"/>
      <w:lang w:val="x-none"/>
    </w:rPr>
  </w:style>
  <w:style w:type="character" w:styleId="ad">
    <w:name w:val="footnote reference"/>
    <w:semiHidden/>
    <w:rPr>
      <w:vertAlign w:val="superscript"/>
    </w:rPr>
  </w:style>
  <w:style w:type="paragraph" w:styleId="ae">
    <w:name w:val="Body Text"/>
    <w:basedOn w:val="a"/>
    <w:pPr>
      <w:spacing w:after="120"/>
    </w:pPr>
  </w:style>
  <w:style w:type="paragraph" w:customStyle="1" w:styleId="21">
    <w:name w:val="סגנון2"/>
    <w:pPr>
      <w:spacing w:after="240" w:line="360" w:lineRule="auto"/>
      <w:jc w:val="both"/>
    </w:pPr>
    <w:rPr>
      <w:rFonts w:cs="David"/>
      <w:szCs w:val="24"/>
      <w:lang w:eastAsia="he-IL"/>
    </w:rPr>
  </w:style>
  <w:style w:type="character" w:styleId="af">
    <w:name w:val="page number"/>
    <w:basedOn w:val="a1"/>
  </w:style>
  <w:style w:type="paragraph" w:styleId="a0">
    <w:name w:val="Block Text"/>
    <w:basedOn w:val="a"/>
    <w:pPr>
      <w:spacing w:line="360" w:lineRule="auto"/>
      <w:jc w:val="both"/>
    </w:pPr>
    <w:rPr>
      <w:b/>
      <w:bCs/>
      <w:sz w:val="26"/>
    </w:rPr>
  </w:style>
  <w:style w:type="paragraph" w:customStyle="1" w:styleId="af0">
    <w:name w:val="פסקה"/>
    <w:basedOn w:val="a"/>
    <w:pPr>
      <w:spacing w:before="120" w:line="300" w:lineRule="atLeast"/>
      <w:ind w:left="737"/>
      <w:jc w:val="both"/>
    </w:pPr>
    <w:rPr>
      <w:b/>
      <w:bCs/>
    </w:rPr>
  </w:style>
  <w:style w:type="paragraph" w:styleId="30">
    <w:name w:val="Body Text 3"/>
    <w:basedOn w:val="a"/>
    <w:pPr>
      <w:spacing w:line="360" w:lineRule="auto"/>
    </w:pPr>
    <w:rPr>
      <w:b/>
      <w:bCs/>
      <w:sz w:val="26"/>
    </w:rPr>
  </w:style>
  <w:style w:type="paragraph" w:styleId="af1">
    <w:name w:val="endnote text"/>
    <w:basedOn w:val="a"/>
    <w:semiHidden/>
    <w:rPr>
      <w:rFonts w:cs="Miriam"/>
      <w:b/>
      <w:bCs/>
      <w:sz w:val="20"/>
      <w:szCs w:val="20"/>
    </w:rPr>
  </w:style>
  <w:style w:type="character" w:styleId="af2">
    <w:name w:val="annotation reference"/>
    <w:semiHidden/>
    <w:rsid w:val="00C247D4"/>
    <w:rPr>
      <w:sz w:val="16"/>
      <w:szCs w:val="16"/>
    </w:rPr>
  </w:style>
  <w:style w:type="paragraph" w:customStyle="1" w:styleId="af3">
    <w:name w:val="טקסט"/>
    <w:basedOn w:val="a"/>
    <w:pPr>
      <w:spacing w:before="120" w:line="360" w:lineRule="auto"/>
      <w:jc w:val="both"/>
    </w:pPr>
    <w:rPr>
      <w:rFonts w:ascii="Times New (W1)" w:hAnsi="Times New (W1)"/>
      <w:b/>
      <w:bCs/>
    </w:rPr>
  </w:style>
  <w:style w:type="paragraph" w:styleId="af4">
    <w:name w:val="caption"/>
    <w:basedOn w:val="a"/>
    <w:next w:val="a"/>
    <w:qFormat/>
    <w:pPr>
      <w:spacing w:before="120" w:after="120"/>
    </w:pPr>
    <w:rPr>
      <w:rFonts w:cs="Times New Roman"/>
      <w:sz w:val="20"/>
      <w:szCs w:val="20"/>
    </w:rPr>
  </w:style>
  <w:style w:type="paragraph" w:customStyle="1" w:styleId="11">
    <w:name w:val="פסקה1"/>
    <w:basedOn w:val="a"/>
    <w:pPr>
      <w:tabs>
        <w:tab w:val="left" w:pos="851"/>
      </w:tabs>
      <w:spacing w:before="120" w:line="300" w:lineRule="atLeast"/>
      <w:ind w:left="738" w:hanging="284"/>
      <w:jc w:val="both"/>
    </w:pPr>
    <w:rPr>
      <w:b/>
      <w:bCs/>
    </w:rPr>
  </w:style>
  <w:style w:type="paragraph" w:styleId="af5">
    <w:name w:val="annotation text"/>
    <w:basedOn w:val="a"/>
    <w:semiHidden/>
    <w:rsid w:val="00C247D4"/>
    <w:rPr>
      <w:sz w:val="20"/>
      <w:szCs w:val="20"/>
    </w:rPr>
  </w:style>
  <w:style w:type="paragraph" w:styleId="af6">
    <w:name w:val="annotation subject"/>
    <w:basedOn w:val="af5"/>
    <w:next w:val="af5"/>
    <w:semiHidden/>
    <w:rsid w:val="00C247D4"/>
  </w:style>
  <w:style w:type="character" w:customStyle="1" w:styleId="ac">
    <w:name w:val="טקסט הערת שוליים תו"/>
    <w:link w:val="ab"/>
    <w:semiHidden/>
    <w:locked/>
    <w:rsid w:val="0011024F"/>
    <w:rPr>
      <w:lang w:eastAsia="he-IL"/>
    </w:rPr>
  </w:style>
  <w:style w:type="character" w:styleId="FollowedHyperlink">
    <w:name w:val="FollowedHyperlink"/>
    <w:rsid w:val="00F92C0B"/>
    <w:rPr>
      <w:color w:val="800080"/>
      <w:u w:val="single"/>
    </w:rPr>
  </w:style>
  <w:style w:type="character" w:customStyle="1" w:styleId="shorttext">
    <w:name w:val="short_text"/>
    <w:rsid w:val="00FF06F8"/>
  </w:style>
  <w:style w:type="character" w:customStyle="1" w:styleId="a5">
    <w:name w:val="כותרת עליונה תו"/>
    <w:link w:val="a4"/>
    <w:rsid w:val="00EA2FF0"/>
    <w:rPr>
      <w:rFonts w:cs="David"/>
      <w:b/>
      <w:bCs/>
      <w:sz w:val="24"/>
      <w:szCs w:val="26"/>
      <w:lang w:eastAsia="he-IL"/>
    </w:rPr>
  </w:style>
  <w:style w:type="character" w:customStyle="1" w:styleId="a7">
    <w:name w:val="כותרת תחתונה תו"/>
    <w:link w:val="a6"/>
    <w:uiPriority w:val="99"/>
    <w:rsid w:val="00EA2FF0"/>
    <w:rPr>
      <w:rFonts w:cs="David"/>
      <w:b/>
      <w:bCs/>
      <w:sz w:val="24"/>
      <w:szCs w:val="26"/>
      <w:lang w:eastAsia="he-IL"/>
    </w:rPr>
  </w:style>
  <w:style w:type="paragraph" w:styleId="af7">
    <w:name w:val="List Paragraph"/>
    <w:basedOn w:val="a"/>
    <w:uiPriority w:val="34"/>
    <w:qFormat/>
    <w:rsid w:val="002A2862"/>
    <w:pPr>
      <w:ind w:left="720"/>
    </w:pPr>
  </w:style>
  <w:style w:type="paragraph" w:styleId="NormalWeb">
    <w:name w:val="Normal (Web)"/>
    <w:basedOn w:val="a"/>
    <w:uiPriority w:val="99"/>
    <w:unhideWhenUsed/>
    <w:rsid w:val="00C668AA"/>
    <w:pPr>
      <w:bidi w:val="0"/>
      <w:spacing w:before="100" w:beforeAutospacing="1" w:after="100" w:afterAutospacing="1"/>
    </w:pPr>
    <w:rPr>
      <w:rFonts w:cs="Times New Roman"/>
      <w:b/>
      <w:bCs/>
    </w:rPr>
  </w:style>
  <w:style w:type="table" w:styleId="af8">
    <w:name w:val="Table Grid"/>
    <w:basedOn w:val="a2"/>
    <w:rsid w:val="005D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semiHidden/>
    <w:unhideWhenUsed/>
    <w:qFormat/>
    <w:rsid w:val="00793B82"/>
    <w:pPr>
      <w:keepNext/>
      <w:keepLines/>
      <w:bidi/>
      <w:spacing w:before="480" w:line="276" w:lineRule="auto"/>
      <w:ind w:right="0"/>
      <w:jc w:val="left"/>
      <w:outlineLvl w:val="9"/>
    </w:pPr>
    <w:rPr>
      <w:rFonts w:ascii="Cambria" w:hAnsi="Cambria" w:cs="Times New Roman"/>
      <w:color w:val="365F91"/>
      <w:sz w:val="28"/>
      <w:rtl/>
      <w:cs/>
    </w:rPr>
  </w:style>
  <w:style w:type="paragraph" w:styleId="TOC1">
    <w:name w:val="toc 1"/>
    <w:basedOn w:val="a"/>
    <w:next w:val="a"/>
    <w:autoRedefine/>
    <w:uiPriority w:val="39"/>
    <w:rsid w:val="00793B82"/>
  </w:style>
  <w:style w:type="paragraph" w:styleId="TOC2">
    <w:name w:val="toc 2"/>
    <w:basedOn w:val="a"/>
    <w:next w:val="a"/>
    <w:autoRedefine/>
    <w:uiPriority w:val="39"/>
    <w:rsid w:val="00793B82"/>
    <w:pPr>
      <w:ind w:left="240"/>
    </w:pPr>
  </w:style>
  <w:style w:type="paragraph" w:styleId="TOC3">
    <w:name w:val="toc 3"/>
    <w:basedOn w:val="a"/>
    <w:next w:val="a"/>
    <w:autoRedefine/>
    <w:uiPriority w:val="39"/>
    <w:rsid w:val="00793B82"/>
    <w:pPr>
      <w:ind w:left="480"/>
    </w:pPr>
  </w:style>
  <w:style w:type="character" w:styleId="afa">
    <w:name w:val="Strong"/>
    <w:rsid w:val="008D5375"/>
    <w:rPr>
      <w:rFonts w:cstheme="minorBidi"/>
      <w:bCs/>
      <w:szCs w:val="24"/>
    </w:rPr>
  </w:style>
  <w:style w:type="character" w:styleId="afb">
    <w:name w:val="Emphasis"/>
    <w:basedOn w:val="a1"/>
    <w:qFormat/>
    <w:rsid w:val="008D5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488">
      <w:bodyDiv w:val="1"/>
      <w:marLeft w:val="0"/>
      <w:marRight w:val="0"/>
      <w:marTop w:val="0"/>
      <w:marBottom w:val="0"/>
      <w:divBdr>
        <w:top w:val="none" w:sz="0" w:space="0" w:color="auto"/>
        <w:left w:val="none" w:sz="0" w:space="0" w:color="auto"/>
        <w:bottom w:val="none" w:sz="0" w:space="0" w:color="auto"/>
        <w:right w:val="none" w:sz="0" w:space="0" w:color="auto"/>
      </w:divBdr>
    </w:div>
    <w:div w:id="49380348">
      <w:bodyDiv w:val="1"/>
      <w:marLeft w:val="0"/>
      <w:marRight w:val="0"/>
      <w:marTop w:val="0"/>
      <w:marBottom w:val="0"/>
      <w:divBdr>
        <w:top w:val="none" w:sz="0" w:space="0" w:color="auto"/>
        <w:left w:val="none" w:sz="0" w:space="0" w:color="auto"/>
        <w:bottom w:val="none" w:sz="0" w:space="0" w:color="auto"/>
        <w:right w:val="none" w:sz="0" w:space="0" w:color="auto"/>
      </w:divBdr>
    </w:div>
    <w:div w:id="74086891">
      <w:bodyDiv w:val="1"/>
      <w:marLeft w:val="0"/>
      <w:marRight w:val="0"/>
      <w:marTop w:val="0"/>
      <w:marBottom w:val="0"/>
      <w:divBdr>
        <w:top w:val="none" w:sz="0" w:space="0" w:color="auto"/>
        <w:left w:val="none" w:sz="0" w:space="0" w:color="auto"/>
        <w:bottom w:val="none" w:sz="0" w:space="0" w:color="auto"/>
        <w:right w:val="none" w:sz="0" w:space="0" w:color="auto"/>
      </w:divBdr>
    </w:div>
    <w:div w:id="82265080">
      <w:bodyDiv w:val="1"/>
      <w:marLeft w:val="0"/>
      <w:marRight w:val="0"/>
      <w:marTop w:val="0"/>
      <w:marBottom w:val="0"/>
      <w:divBdr>
        <w:top w:val="none" w:sz="0" w:space="0" w:color="auto"/>
        <w:left w:val="none" w:sz="0" w:space="0" w:color="auto"/>
        <w:bottom w:val="none" w:sz="0" w:space="0" w:color="auto"/>
        <w:right w:val="none" w:sz="0" w:space="0" w:color="auto"/>
      </w:divBdr>
    </w:div>
    <w:div w:id="184713119">
      <w:bodyDiv w:val="1"/>
      <w:marLeft w:val="0"/>
      <w:marRight w:val="0"/>
      <w:marTop w:val="0"/>
      <w:marBottom w:val="0"/>
      <w:divBdr>
        <w:top w:val="none" w:sz="0" w:space="0" w:color="auto"/>
        <w:left w:val="none" w:sz="0" w:space="0" w:color="auto"/>
        <w:bottom w:val="none" w:sz="0" w:space="0" w:color="auto"/>
        <w:right w:val="none" w:sz="0" w:space="0" w:color="auto"/>
      </w:divBdr>
    </w:div>
    <w:div w:id="239951523">
      <w:bodyDiv w:val="1"/>
      <w:marLeft w:val="0"/>
      <w:marRight w:val="0"/>
      <w:marTop w:val="0"/>
      <w:marBottom w:val="0"/>
      <w:divBdr>
        <w:top w:val="none" w:sz="0" w:space="0" w:color="auto"/>
        <w:left w:val="none" w:sz="0" w:space="0" w:color="auto"/>
        <w:bottom w:val="none" w:sz="0" w:space="0" w:color="auto"/>
        <w:right w:val="none" w:sz="0" w:space="0" w:color="auto"/>
      </w:divBdr>
    </w:div>
    <w:div w:id="245502637">
      <w:bodyDiv w:val="1"/>
      <w:marLeft w:val="0"/>
      <w:marRight w:val="0"/>
      <w:marTop w:val="0"/>
      <w:marBottom w:val="0"/>
      <w:divBdr>
        <w:top w:val="none" w:sz="0" w:space="0" w:color="auto"/>
        <w:left w:val="none" w:sz="0" w:space="0" w:color="auto"/>
        <w:bottom w:val="none" w:sz="0" w:space="0" w:color="auto"/>
        <w:right w:val="none" w:sz="0" w:space="0" w:color="auto"/>
      </w:divBdr>
    </w:div>
    <w:div w:id="319774623">
      <w:bodyDiv w:val="1"/>
      <w:marLeft w:val="0"/>
      <w:marRight w:val="0"/>
      <w:marTop w:val="0"/>
      <w:marBottom w:val="0"/>
      <w:divBdr>
        <w:top w:val="none" w:sz="0" w:space="0" w:color="auto"/>
        <w:left w:val="none" w:sz="0" w:space="0" w:color="auto"/>
        <w:bottom w:val="none" w:sz="0" w:space="0" w:color="auto"/>
        <w:right w:val="none" w:sz="0" w:space="0" w:color="auto"/>
      </w:divBdr>
    </w:div>
    <w:div w:id="322440216">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11007625">
      <w:bodyDiv w:val="1"/>
      <w:marLeft w:val="0"/>
      <w:marRight w:val="0"/>
      <w:marTop w:val="0"/>
      <w:marBottom w:val="0"/>
      <w:divBdr>
        <w:top w:val="none" w:sz="0" w:space="0" w:color="auto"/>
        <w:left w:val="none" w:sz="0" w:space="0" w:color="auto"/>
        <w:bottom w:val="none" w:sz="0" w:space="0" w:color="auto"/>
        <w:right w:val="none" w:sz="0" w:space="0" w:color="auto"/>
      </w:divBdr>
    </w:div>
    <w:div w:id="514073549">
      <w:bodyDiv w:val="1"/>
      <w:marLeft w:val="0"/>
      <w:marRight w:val="0"/>
      <w:marTop w:val="0"/>
      <w:marBottom w:val="0"/>
      <w:divBdr>
        <w:top w:val="none" w:sz="0" w:space="0" w:color="auto"/>
        <w:left w:val="none" w:sz="0" w:space="0" w:color="auto"/>
        <w:bottom w:val="none" w:sz="0" w:space="0" w:color="auto"/>
        <w:right w:val="none" w:sz="0" w:space="0" w:color="auto"/>
      </w:divBdr>
    </w:div>
    <w:div w:id="543520264">
      <w:bodyDiv w:val="1"/>
      <w:marLeft w:val="0"/>
      <w:marRight w:val="0"/>
      <w:marTop w:val="0"/>
      <w:marBottom w:val="0"/>
      <w:divBdr>
        <w:top w:val="none" w:sz="0" w:space="0" w:color="auto"/>
        <w:left w:val="none" w:sz="0" w:space="0" w:color="auto"/>
        <w:bottom w:val="none" w:sz="0" w:space="0" w:color="auto"/>
        <w:right w:val="none" w:sz="0" w:space="0" w:color="auto"/>
      </w:divBdr>
    </w:div>
    <w:div w:id="595864044">
      <w:bodyDiv w:val="1"/>
      <w:marLeft w:val="0"/>
      <w:marRight w:val="0"/>
      <w:marTop w:val="0"/>
      <w:marBottom w:val="0"/>
      <w:divBdr>
        <w:top w:val="none" w:sz="0" w:space="0" w:color="auto"/>
        <w:left w:val="none" w:sz="0" w:space="0" w:color="auto"/>
        <w:bottom w:val="none" w:sz="0" w:space="0" w:color="auto"/>
        <w:right w:val="none" w:sz="0" w:space="0" w:color="auto"/>
      </w:divBdr>
    </w:div>
    <w:div w:id="610626818">
      <w:bodyDiv w:val="1"/>
      <w:marLeft w:val="0"/>
      <w:marRight w:val="0"/>
      <w:marTop w:val="0"/>
      <w:marBottom w:val="0"/>
      <w:divBdr>
        <w:top w:val="none" w:sz="0" w:space="0" w:color="auto"/>
        <w:left w:val="none" w:sz="0" w:space="0" w:color="auto"/>
        <w:bottom w:val="none" w:sz="0" w:space="0" w:color="auto"/>
        <w:right w:val="none" w:sz="0" w:space="0" w:color="auto"/>
      </w:divBdr>
    </w:div>
    <w:div w:id="622002923">
      <w:bodyDiv w:val="1"/>
      <w:marLeft w:val="0"/>
      <w:marRight w:val="0"/>
      <w:marTop w:val="0"/>
      <w:marBottom w:val="0"/>
      <w:divBdr>
        <w:top w:val="none" w:sz="0" w:space="0" w:color="auto"/>
        <w:left w:val="none" w:sz="0" w:space="0" w:color="auto"/>
        <w:bottom w:val="none" w:sz="0" w:space="0" w:color="auto"/>
        <w:right w:val="none" w:sz="0" w:space="0" w:color="auto"/>
      </w:divBdr>
    </w:div>
    <w:div w:id="704065381">
      <w:bodyDiv w:val="1"/>
      <w:marLeft w:val="0"/>
      <w:marRight w:val="0"/>
      <w:marTop w:val="0"/>
      <w:marBottom w:val="0"/>
      <w:divBdr>
        <w:top w:val="none" w:sz="0" w:space="0" w:color="auto"/>
        <w:left w:val="none" w:sz="0" w:space="0" w:color="auto"/>
        <w:bottom w:val="none" w:sz="0" w:space="0" w:color="auto"/>
        <w:right w:val="none" w:sz="0" w:space="0" w:color="auto"/>
      </w:divBdr>
    </w:div>
    <w:div w:id="734090951">
      <w:bodyDiv w:val="1"/>
      <w:marLeft w:val="0"/>
      <w:marRight w:val="0"/>
      <w:marTop w:val="0"/>
      <w:marBottom w:val="0"/>
      <w:divBdr>
        <w:top w:val="none" w:sz="0" w:space="0" w:color="auto"/>
        <w:left w:val="none" w:sz="0" w:space="0" w:color="auto"/>
        <w:bottom w:val="none" w:sz="0" w:space="0" w:color="auto"/>
        <w:right w:val="none" w:sz="0" w:space="0" w:color="auto"/>
      </w:divBdr>
    </w:div>
    <w:div w:id="845050948">
      <w:bodyDiv w:val="1"/>
      <w:marLeft w:val="0"/>
      <w:marRight w:val="0"/>
      <w:marTop w:val="0"/>
      <w:marBottom w:val="0"/>
      <w:divBdr>
        <w:top w:val="none" w:sz="0" w:space="0" w:color="auto"/>
        <w:left w:val="none" w:sz="0" w:space="0" w:color="auto"/>
        <w:bottom w:val="none" w:sz="0" w:space="0" w:color="auto"/>
        <w:right w:val="none" w:sz="0" w:space="0" w:color="auto"/>
      </w:divBdr>
    </w:div>
    <w:div w:id="922110333">
      <w:bodyDiv w:val="1"/>
      <w:marLeft w:val="0"/>
      <w:marRight w:val="0"/>
      <w:marTop w:val="0"/>
      <w:marBottom w:val="0"/>
      <w:divBdr>
        <w:top w:val="none" w:sz="0" w:space="0" w:color="auto"/>
        <w:left w:val="none" w:sz="0" w:space="0" w:color="auto"/>
        <w:bottom w:val="none" w:sz="0" w:space="0" w:color="auto"/>
        <w:right w:val="none" w:sz="0" w:space="0" w:color="auto"/>
      </w:divBdr>
    </w:div>
    <w:div w:id="1020664742">
      <w:bodyDiv w:val="1"/>
      <w:marLeft w:val="0"/>
      <w:marRight w:val="0"/>
      <w:marTop w:val="0"/>
      <w:marBottom w:val="0"/>
      <w:divBdr>
        <w:top w:val="none" w:sz="0" w:space="0" w:color="auto"/>
        <w:left w:val="none" w:sz="0" w:space="0" w:color="auto"/>
        <w:bottom w:val="none" w:sz="0" w:space="0" w:color="auto"/>
        <w:right w:val="none" w:sz="0" w:space="0" w:color="auto"/>
      </w:divBdr>
    </w:div>
    <w:div w:id="1035232539">
      <w:bodyDiv w:val="1"/>
      <w:marLeft w:val="0"/>
      <w:marRight w:val="0"/>
      <w:marTop w:val="0"/>
      <w:marBottom w:val="0"/>
      <w:divBdr>
        <w:top w:val="none" w:sz="0" w:space="0" w:color="auto"/>
        <w:left w:val="none" w:sz="0" w:space="0" w:color="auto"/>
        <w:bottom w:val="none" w:sz="0" w:space="0" w:color="auto"/>
        <w:right w:val="none" w:sz="0" w:space="0" w:color="auto"/>
      </w:divBdr>
    </w:div>
    <w:div w:id="1066492059">
      <w:bodyDiv w:val="1"/>
      <w:marLeft w:val="0"/>
      <w:marRight w:val="0"/>
      <w:marTop w:val="0"/>
      <w:marBottom w:val="0"/>
      <w:divBdr>
        <w:top w:val="none" w:sz="0" w:space="0" w:color="auto"/>
        <w:left w:val="none" w:sz="0" w:space="0" w:color="auto"/>
        <w:bottom w:val="none" w:sz="0" w:space="0" w:color="auto"/>
        <w:right w:val="none" w:sz="0" w:space="0" w:color="auto"/>
      </w:divBdr>
    </w:div>
    <w:div w:id="1085305023">
      <w:bodyDiv w:val="1"/>
      <w:marLeft w:val="0"/>
      <w:marRight w:val="0"/>
      <w:marTop w:val="0"/>
      <w:marBottom w:val="0"/>
      <w:divBdr>
        <w:top w:val="none" w:sz="0" w:space="0" w:color="auto"/>
        <w:left w:val="none" w:sz="0" w:space="0" w:color="auto"/>
        <w:bottom w:val="none" w:sz="0" w:space="0" w:color="auto"/>
        <w:right w:val="none" w:sz="0" w:space="0" w:color="auto"/>
      </w:divBdr>
    </w:div>
    <w:div w:id="1109664306">
      <w:bodyDiv w:val="1"/>
      <w:marLeft w:val="0"/>
      <w:marRight w:val="0"/>
      <w:marTop w:val="0"/>
      <w:marBottom w:val="0"/>
      <w:divBdr>
        <w:top w:val="none" w:sz="0" w:space="0" w:color="auto"/>
        <w:left w:val="none" w:sz="0" w:space="0" w:color="auto"/>
        <w:bottom w:val="none" w:sz="0" w:space="0" w:color="auto"/>
        <w:right w:val="none" w:sz="0" w:space="0" w:color="auto"/>
      </w:divBdr>
    </w:div>
    <w:div w:id="1148715885">
      <w:bodyDiv w:val="1"/>
      <w:marLeft w:val="0"/>
      <w:marRight w:val="0"/>
      <w:marTop w:val="0"/>
      <w:marBottom w:val="0"/>
      <w:divBdr>
        <w:top w:val="none" w:sz="0" w:space="0" w:color="auto"/>
        <w:left w:val="none" w:sz="0" w:space="0" w:color="auto"/>
        <w:bottom w:val="none" w:sz="0" w:space="0" w:color="auto"/>
        <w:right w:val="none" w:sz="0" w:space="0" w:color="auto"/>
      </w:divBdr>
    </w:div>
    <w:div w:id="1152285321">
      <w:bodyDiv w:val="1"/>
      <w:marLeft w:val="0"/>
      <w:marRight w:val="0"/>
      <w:marTop w:val="0"/>
      <w:marBottom w:val="0"/>
      <w:divBdr>
        <w:top w:val="none" w:sz="0" w:space="0" w:color="auto"/>
        <w:left w:val="none" w:sz="0" w:space="0" w:color="auto"/>
        <w:bottom w:val="none" w:sz="0" w:space="0" w:color="auto"/>
        <w:right w:val="none" w:sz="0" w:space="0" w:color="auto"/>
      </w:divBdr>
    </w:div>
    <w:div w:id="1155412388">
      <w:bodyDiv w:val="1"/>
      <w:marLeft w:val="0"/>
      <w:marRight w:val="0"/>
      <w:marTop w:val="0"/>
      <w:marBottom w:val="0"/>
      <w:divBdr>
        <w:top w:val="none" w:sz="0" w:space="0" w:color="auto"/>
        <w:left w:val="none" w:sz="0" w:space="0" w:color="auto"/>
        <w:bottom w:val="none" w:sz="0" w:space="0" w:color="auto"/>
        <w:right w:val="none" w:sz="0" w:space="0" w:color="auto"/>
      </w:divBdr>
    </w:div>
    <w:div w:id="1217468102">
      <w:bodyDiv w:val="1"/>
      <w:marLeft w:val="0"/>
      <w:marRight w:val="0"/>
      <w:marTop w:val="0"/>
      <w:marBottom w:val="0"/>
      <w:divBdr>
        <w:top w:val="none" w:sz="0" w:space="0" w:color="auto"/>
        <w:left w:val="none" w:sz="0" w:space="0" w:color="auto"/>
        <w:bottom w:val="none" w:sz="0" w:space="0" w:color="auto"/>
        <w:right w:val="none" w:sz="0" w:space="0" w:color="auto"/>
      </w:divBdr>
    </w:div>
    <w:div w:id="1239947975">
      <w:bodyDiv w:val="1"/>
      <w:marLeft w:val="0"/>
      <w:marRight w:val="0"/>
      <w:marTop w:val="0"/>
      <w:marBottom w:val="0"/>
      <w:divBdr>
        <w:top w:val="none" w:sz="0" w:space="0" w:color="auto"/>
        <w:left w:val="none" w:sz="0" w:space="0" w:color="auto"/>
        <w:bottom w:val="none" w:sz="0" w:space="0" w:color="auto"/>
        <w:right w:val="none" w:sz="0" w:space="0" w:color="auto"/>
      </w:divBdr>
    </w:div>
    <w:div w:id="1268542859">
      <w:bodyDiv w:val="1"/>
      <w:marLeft w:val="0"/>
      <w:marRight w:val="0"/>
      <w:marTop w:val="0"/>
      <w:marBottom w:val="0"/>
      <w:divBdr>
        <w:top w:val="none" w:sz="0" w:space="0" w:color="auto"/>
        <w:left w:val="none" w:sz="0" w:space="0" w:color="auto"/>
        <w:bottom w:val="none" w:sz="0" w:space="0" w:color="auto"/>
        <w:right w:val="none" w:sz="0" w:space="0" w:color="auto"/>
      </w:divBdr>
    </w:div>
    <w:div w:id="1312753740">
      <w:bodyDiv w:val="1"/>
      <w:marLeft w:val="0"/>
      <w:marRight w:val="0"/>
      <w:marTop w:val="0"/>
      <w:marBottom w:val="0"/>
      <w:divBdr>
        <w:top w:val="none" w:sz="0" w:space="0" w:color="auto"/>
        <w:left w:val="none" w:sz="0" w:space="0" w:color="auto"/>
        <w:bottom w:val="none" w:sz="0" w:space="0" w:color="auto"/>
        <w:right w:val="none" w:sz="0" w:space="0" w:color="auto"/>
      </w:divBdr>
    </w:div>
    <w:div w:id="1320622787">
      <w:bodyDiv w:val="1"/>
      <w:marLeft w:val="0"/>
      <w:marRight w:val="0"/>
      <w:marTop w:val="0"/>
      <w:marBottom w:val="0"/>
      <w:divBdr>
        <w:top w:val="none" w:sz="0" w:space="0" w:color="auto"/>
        <w:left w:val="none" w:sz="0" w:space="0" w:color="auto"/>
        <w:bottom w:val="none" w:sz="0" w:space="0" w:color="auto"/>
        <w:right w:val="none" w:sz="0" w:space="0" w:color="auto"/>
      </w:divBdr>
    </w:div>
    <w:div w:id="1343630415">
      <w:bodyDiv w:val="1"/>
      <w:marLeft w:val="0"/>
      <w:marRight w:val="0"/>
      <w:marTop w:val="0"/>
      <w:marBottom w:val="0"/>
      <w:divBdr>
        <w:top w:val="none" w:sz="0" w:space="0" w:color="auto"/>
        <w:left w:val="none" w:sz="0" w:space="0" w:color="auto"/>
        <w:bottom w:val="none" w:sz="0" w:space="0" w:color="auto"/>
        <w:right w:val="none" w:sz="0" w:space="0" w:color="auto"/>
      </w:divBdr>
    </w:div>
    <w:div w:id="1373119603">
      <w:bodyDiv w:val="1"/>
      <w:marLeft w:val="0"/>
      <w:marRight w:val="0"/>
      <w:marTop w:val="0"/>
      <w:marBottom w:val="0"/>
      <w:divBdr>
        <w:top w:val="none" w:sz="0" w:space="0" w:color="auto"/>
        <w:left w:val="none" w:sz="0" w:space="0" w:color="auto"/>
        <w:bottom w:val="none" w:sz="0" w:space="0" w:color="auto"/>
        <w:right w:val="none" w:sz="0" w:space="0" w:color="auto"/>
      </w:divBdr>
    </w:div>
    <w:div w:id="1398287251">
      <w:bodyDiv w:val="1"/>
      <w:marLeft w:val="0"/>
      <w:marRight w:val="0"/>
      <w:marTop w:val="0"/>
      <w:marBottom w:val="0"/>
      <w:divBdr>
        <w:top w:val="none" w:sz="0" w:space="0" w:color="auto"/>
        <w:left w:val="none" w:sz="0" w:space="0" w:color="auto"/>
        <w:bottom w:val="none" w:sz="0" w:space="0" w:color="auto"/>
        <w:right w:val="none" w:sz="0" w:space="0" w:color="auto"/>
      </w:divBdr>
    </w:div>
    <w:div w:id="1405488701">
      <w:bodyDiv w:val="1"/>
      <w:marLeft w:val="0"/>
      <w:marRight w:val="0"/>
      <w:marTop w:val="0"/>
      <w:marBottom w:val="0"/>
      <w:divBdr>
        <w:top w:val="none" w:sz="0" w:space="0" w:color="auto"/>
        <w:left w:val="none" w:sz="0" w:space="0" w:color="auto"/>
        <w:bottom w:val="none" w:sz="0" w:space="0" w:color="auto"/>
        <w:right w:val="none" w:sz="0" w:space="0" w:color="auto"/>
      </w:divBdr>
    </w:div>
    <w:div w:id="1415392474">
      <w:bodyDiv w:val="1"/>
      <w:marLeft w:val="0"/>
      <w:marRight w:val="0"/>
      <w:marTop w:val="0"/>
      <w:marBottom w:val="0"/>
      <w:divBdr>
        <w:top w:val="none" w:sz="0" w:space="0" w:color="auto"/>
        <w:left w:val="none" w:sz="0" w:space="0" w:color="auto"/>
        <w:bottom w:val="none" w:sz="0" w:space="0" w:color="auto"/>
        <w:right w:val="none" w:sz="0" w:space="0" w:color="auto"/>
      </w:divBdr>
    </w:div>
    <w:div w:id="1416710369">
      <w:bodyDiv w:val="1"/>
      <w:marLeft w:val="0"/>
      <w:marRight w:val="0"/>
      <w:marTop w:val="0"/>
      <w:marBottom w:val="0"/>
      <w:divBdr>
        <w:top w:val="none" w:sz="0" w:space="0" w:color="auto"/>
        <w:left w:val="none" w:sz="0" w:space="0" w:color="auto"/>
        <w:bottom w:val="none" w:sz="0" w:space="0" w:color="auto"/>
        <w:right w:val="none" w:sz="0" w:space="0" w:color="auto"/>
      </w:divBdr>
    </w:div>
    <w:div w:id="1440489669">
      <w:bodyDiv w:val="1"/>
      <w:marLeft w:val="0"/>
      <w:marRight w:val="0"/>
      <w:marTop w:val="0"/>
      <w:marBottom w:val="0"/>
      <w:divBdr>
        <w:top w:val="none" w:sz="0" w:space="0" w:color="auto"/>
        <w:left w:val="none" w:sz="0" w:space="0" w:color="auto"/>
        <w:bottom w:val="none" w:sz="0" w:space="0" w:color="auto"/>
        <w:right w:val="none" w:sz="0" w:space="0" w:color="auto"/>
      </w:divBdr>
    </w:div>
    <w:div w:id="1452092650">
      <w:bodyDiv w:val="1"/>
      <w:marLeft w:val="0"/>
      <w:marRight w:val="0"/>
      <w:marTop w:val="0"/>
      <w:marBottom w:val="0"/>
      <w:divBdr>
        <w:top w:val="none" w:sz="0" w:space="0" w:color="auto"/>
        <w:left w:val="none" w:sz="0" w:space="0" w:color="auto"/>
        <w:bottom w:val="none" w:sz="0" w:space="0" w:color="auto"/>
        <w:right w:val="none" w:sz="0" w:space="0" w:color="auto"/>
      </w:divBdr>
    </w:div>
    <w:div w:id="1483620917">
      <w:bodyDiv w:val="1"/>
      <w:marLeft w:val="0"/>
      <w:marRight w:val="0"/>
      <w:marTop w:val="0"/>
      <w:marBottom w:val="0"/>
      <w:divBdr>
        <w:top w:val="none" w:sz="0" w:space="0" w:color="auto"/>
        <w:left w:val="none" w:sz="0" w:space="0" w:color="auto"/>
        <w:bottom w:val="none" w:sz="0" w:space="0" w:color="auto"/>
        <w:right w:val="none" w:sz="0" w:space="0" w:color="auto"/>
      </w:divBdr>
    </w:div>
    <w:div w:id="1533612121">
      <w:bodyDiv w:val="1"/>
      <w:marLeft w:val="0"/>
      <w:marRight w:val="0"/>
      <w:marTop w:val="0"/>
      <w:marBottom w:val="0"/>
      <w:divBdr>
        <w:top w:val="none" w:sz="0" w:space="0" w:color="auto"/>
        <w:left w:val="none" w:sz="0" w:space="0" w:color="auto"/>
        <w:bottom w:val="none" w:sz="0" w:space="0" w:color="auto"/>
        <w:right w:val="none" w:sz="0" w:space="0" w:color="auto"/>
      </w:divBdr>
    </w:div>
    <w:div w:id="1602495260">
      <w:bodyDiv w:val="1"/>
      <w:marLeft w:val="0"/>
      <w:marRight w:val="0"/>
      <w:marTop w:val="0"/>
      <w:marBottom w:val="0"/>
      <w:divBdr>
        <w:top w:val="none" w:sz="0" w:space="0" w:color="auto"/>
        <w:left w:val="none" w:sz="0" w:space="0" w:color="auto"/>
        <w:bottom w:val="none" w:sz="0" w:space="0" w:color="auto"/>
        <w:right w:val="none" w:sz="0" w:space="0" w:color="auto"/>
      </w:divBdr>
    </w:div>
    <w:div w:id="1621494476">
      <w:bodyDiv w:val="1"/>
      <w:marLeft w:val="0"/>
      <w:marRight w:val="0"/>
      <w:marTop w:val="0"/>
      <w:marBottom w:val="0"/>
      <w:divBdr>
        <w:top w:val="none" w:sz="0" w:space="0" w:color="auto"/>
        <w:left w:val="none" w:sz="0" w:space="0" w:color="auto"/>
        <w:bottom w:val="none" w:sz="0" w:space="0" w:color="auto"/>
        <w:right w:val="none" w:sz="0" w:space="0" w:color="auto"/>
      </w:divBdr>
    </w:div>
    <w:div w:id="1630623931">
      <w:bodyDiv w:val="1"/>
      <w:marLeft w:val="0"/>
      <w:marRight w:val="0"/>
      <w:marTop w:val="0"/>
      <w:marBottom w:val="0"/>
      <w:divBdr>
        <w:top w:val="none" w:sz="0" w:space="0" w:color="auto"/>
        <w:left w:val="none" w:sz="0" w:space="0" w:color="auto"/>
        <w:bottom w:val="none" w:sz="0" w:space="0" w:color="auto"/>
        <w:right w:val="none" w:sz="0" w:space="0" w:color="auto"/>
      </w:divBdr>
    </w:div>
    <w:div w:id="1691638431">
      <w:bodyDiv w:val="1"/>
      <w:marLeft w:val="0"/>
      <w:marRight w:val="0"/>
      <w:marTop w:val="0"/>
      <w:marBottom w:val="0"/>
      <w:divBdr>
        <w:top w:val="none" w:sz="0" w:space="0" w:color="auto"/>
        <w:left w:val="none" w:sz="0" w:space="0" w:color="auto"/>
        <w:bottom w:val="none" w:sz="0" w:space="0" w:color="auto"/>
        <w:right w:val="none" w:sz="0" w:space="0" w:color="auto"/>
      </w:divBdr>
    </w:div>
    <w:div w:id="1724212489">
      <w:bodyDiv w:val="1"/>
      <w:marLeft w:val="0"/>
      <w:marRight w:val="0"/>
      <w:marTop w:val="0"/>
      <w:marBottom w:val="0"/>
      <w:divBdr>
        <w:top w:val="none" w:sz="0" w:space="0" w:color="auto"/>
        <w:left w:val="none" w:sz="0" w:space="0" w:color="auto"/>
        <w:bottom w:val="none" w:sz="0" w:space="0" w:color="auto"/>
        <w:right w:val="none" w:sz="0" w:space="0" w:color="auto"/>
      </w:divBdr>
    </w:div>
    <w:div w:id="1751583653">
      <w:bodyDiv w:val="1"/>
      <w:marLeft w:val="0"/>
      <w:marRight w:val="0"/>
      <w:marTop w:val="0"/>
      <w:marBottom w:val="0"/>
      <w:divBdr>
        <w:top w:val="none" w:sz="0" w:space="0" w:color="auto"/>
        <w:left w:val="none" w:sz="0" w:space="0" w:color="auto"/>
        <w:bottom w:val="none" w:sz="0" w:space="0" w:color="auto"/>
        <w:right w:val="none" w:sz="0" w:space="0" w:color="auto"/>
      </w:divBdr>
    </w:div>
    <w:div w:id="1780642712">
      <w:bodyDiv w:val="1"/>
      <w:marLeft w:val="0"/>
      <w:marRight w:val="0"/>
      <w:marTop w:val="0"/>
      <w:marBottom w:val="0"/>
      <w:divBdr>
        <w:top w:val="none" w:sz="0" w:space="0" w:color="auto"/>
        <w:left w:val="none" w:sz="0" w:space="0" w:color="auto"/>
        <w:bottom w:val="none" w:sz="0" w:space="0" w:color="auto"/>
        <w:right w:val="none" w:sz="0" w:space="0" w:color="auto"/>
      </w:divBdr>
    </w:div>
    <w:div w:id="1900702008">
      <w:bodyDiv w:val="1"/>
      <w:marLeft w:val="0"/>
      <w:marRight w:val="0"/>
      <w:marTop w:val="0"/>
      <w:marBottom w:val="0"/>
      <w:divBdr>
        <w:top w:val="none" w:sz="0" w:space="0" w:color="auto"/>
        <w:left w:val="none" w:sz="0" w:space="0" w:color="auto"/>
        <w:bottom w:val="none" w:sz="0" w:space="0" w:color="auto"/>
        <w:right w:val="none" w:sz="0" w:space="0" w:color="auto"/>
      </w:divBdr>
    </w:div>
    <w:div w:id="2031829832">
      <w:bodyDiv w:val="1"/>
      <w:marLeft w:val="0"/>
      <w:marRight w:val="0"/>
      <w:marTop w:val="0"/>
      <w:marBottom w:val="0"/>
      <w:divBdr>
        <w:top w:val="none" w:sz="0" w:space="0" w:color="auto"/>
        <w:left w:val="none" w:sz="0" w:space="0" w:color="auto"/>
        <w:bottom w:val="none" w:sz="0" w:space="0" w:color="auto"/>
        <w:right w:val="none" w:sz="0" w:space="0" w:color="auto"/>
      </w:divBdr>
    </w:div>
    <w:div w:id="2032873889">
      <w:bodyDiv w:val="1"/>
      <w:marLeft w:val="0"/>
      <w:marRight w:val="0"/>
      <w:marTop w:val="0"/>
      <w:marBottom w:val="0"/>
      <w:divBdr>
        <w:top w:val="none" w:sz="0" w:space="0" w:color="auto"/>
        <w:left w:val="none" w:sz="0" w:space="0" w:color="auto"/>
        <w:bottom w:val="none" w:sz="0" w:space="0" w:color="auto"/>
        <w:right w:val="none" w:sz="0" w:space="0" w:color="auto"/>
      </w:divBdr>
    </w:div>
    <w:div w:id="20498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www.cbs.gov.il" TargetMode="External"/><Relationship Id="rId1" Type="http://schemas.openxmlformats.org/officeDocument/2006/relationships/image" Target="media/image8.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bsHide xmlns="f37fff55-d014-472b-b062-823f736a4040" xsi:nil="true"/>
    <eWaveListOrderValue xmlns="http://schemas.microsoft.com/sharepoint/v3" xsi:nil="true"/>
    <PublishingRollupImage xmlns="http://schemas.microsoft.com/sharepoint/v3" xsi:nil="true"/>
    <CbsPublishingDocSubjectEng xmlns="f37fff55-d014-472b-b062-823f736a4040" xsi:nil="true"/>
    <CbsPublishingDocSubject xmlns="f37fff55-d014-472b-b062-823f736a4040" xsi:nil="true"/>
    <CbsDocArticleVariationRelUrlEng xmlns="f37fff55-d014-472b-b062-823f736a4040">/en/mediarelease/Pages/2020/Energy-Balance-2018.aspx</CbsDocArticleVariationRelUrlEng>
    <CbsPublishingDocChapterEng xmlns="f37fff55-d014-472b-b062-823f736a4040">Article</CbsPublishingDocChapterEng>
    <CbsPublishingDocChapter xmlns="f37fff55-d014-472b-b062-823f736a4040">מאמר</CbsPublishingDocChapter>
    <CbsDataSource xmlns="f37fff55-d014-472b-b062-823f736a4040" xsi:nil="true"/>
    <CbsDataPublishDate xmlns="f37fff55-d014-472b-b062-823f736a4040">2020-01-06T11:00:00+00:00</CbsDataPublishDate>
    <CbsDocArticleVariationRelUrl xmlns="f37fff55-d014-472b-b062-823f736a4040">/he/mediarelease/Pages/2020/מאזן-האנרגיה-של-ישראל-2018.aspx</CbsDocArticleVariationRelUrl>
    <CbsOrderField xmlns="f37fff55-d014-472b-b062-823f736a4040">0</CbsOrderField>
    <CbsEnglishTitle xmlns="f37fff55-d014-472b-b062-823f736a4040">Energy Balance, 2018</CbsEnglishTitl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אנרגיה</TermName>
          <TermId xmlns="http://schemas.microsoft.com/office/infopath/2007/PartnerControls">4e7a85a7-ef21-459f-a157-991f5eaad5b2</TermId>
        </TermInfo>
        <TermInfo xmlns="http://schemas.microsoft.com/office/infopath/2007/PartnerControls">
          <TermName xmlns="http://schemas.microsoft.com/office/infopath/2007/PartnerControls"> מאזן האנרגיה</TermName>
          <TermId xmlns="http://schemas.microsoft.com/office/infopath/2007/PartnerControls">5fd149ff-f263-47da-b95d-ecb0f5feb526</TermId>
        </TermInfo>
        <TermInfo xmlns="http://schemas.microsoft.com/office/infopath/2007/PartnerControls">
          <TermName xmlns="http://schemas.microsoft.com/office/infopath/2007/PartnerControls"> נפט גולמי ותוצריו</TermName>
          <TermId xmlns="http://schemas.microsoft.com/office/infopath/2007/PartnerControls">33bf8a8a-70f0-46c4-96d5-92a1b8d56a8b</TermId>
        </TermInfo>
        <TermInfo xmlns="http://schemas.microsoft.com/office/infopath/2007/PartnerControls">
          <TermName xmlns="http://schemas.microsoft.com/office/infopath/2007/PartnerControls"> פחם</TermName>
          <TermId xmlns="http://schemas.microsoft.com/office/infopath/2007/PartnerControls">5077310c-9017-4b16-b1d6-334da31ebc85</TermId>
        </TermInfo>
        <TermInfo xmlns="http://schemas.microsoft.com/office/infopath/2007/PartnerControls">
          <TermName xmlns="http://schemas.microsoft.com/office/infopath/2007/PartnerControls"> גז טבעי</TermName>
          <TermId xmlns="http://schemas.microsoft.com/office/infopath/2007/PartnerControls">bc9e4065-491c-4be2-b606-a68fabbdd28e</TermId>
        </TermInfo>
        <TermInfo xmlns="http://schemas.microsoft.com/office/infopath/2007/PartnerControls">
          <TermName xmlns="http://schemas.microsoft.com/office/infopath/2007/PartnerControls"> חשמל</TermName>
          <TermId xmlns="http://schemas.microsoft.com/office/infopath/2007/PartnerControls">0afafd02-c58a-4d0a-8f01-fc53bb061906</TermId>
        </TermInfo>
      </Terms>
    </badce114fb994f27a777030e336d1efa>
    <CbsMadadPublishDate xmlns="f37fff55-d014-472b-b062-823f736a40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7" ma:contentTypeDescription="צור מסמך חדש." ma:contentTypeScope="" ma:versionID="dffae3faf9eb5bd8a7097053d82f5df8">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d6509ca0145ea413ed6807ecb18a7c15"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8099-0123-4F1A-83C8-CED666D28CD8}">
  <ds:schemaRefs>
    <ds:schemaRef ds:uri="http://schemas.microsoft.com/office/2006/metadata/properties"/>
    <ds:schemaRef ds:uri="http://schemas.microsoft.com/office/infopath/2007/PartnerControls"/>
    <ds:schemaRef ds:uri="f37fff55-d014-472b-b062-823f736a4040"/>
    <ds:schemaRef ds:uri="http://schemas.microsoft.com/sharepoint/v3"/>
  </ds:schemaRefs>
</ds:datastoreItem>
</file>

<file path=customXml/itemProps2.xml><?xml version="1.0" encoding="utf-8"?>
<ds:datastoreItem xmlns:ds="http://schemas.openxmlformats.org/officeDocument/2006/customXml" ds:itemID="{B801F276-B094-4E1C-9657-7058E8947684}">
  <ds:schemaRefs>
    <ds:schemaRef ds:uri="http://schemas.microsoft.com/sharepoint/v3/contenttype/forms"/>
  </ds:schemaRefs>
</ds:datastoreItem>
</file>

<file path=customXml/itemProps3.xml><?xml version="1.0" encoding="utf-8"?>
<ds:datastoreItem xmlns:ds="http://schemas.openxmlformats.org/officeDocument/2006/customXml" ds:itemID="{1FBC4C10-D3BE-49C7-876D-978BE968C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fff55-d014-472b-b062-823f736a4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6746F-5A49-4FBF-B9B1-592E737E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2424</Words>
  <Characters>12120</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מאזן האנרגיה של ישראל, 2018</vt:lpstr>
      <vt:lpstr>מאזן האנרגיה של ישראל, 2017</vt:lpstr>
    </vt:vector>
  </TitlesOfParts>
  <Company>cbs</Company>
  <LinksUpToDate>false</LinksUpToDate>
  <CharactersWithSpaces>14515</CharactersWithSpaces>
  <SharedDoc>false</SharedDoc>
  <HLinks>
    <vt:vector size="24" baseType="variant">
      <vt:variant>
        <vt:i4>6750304</vt:i4>
      </vt:variant>
      <vt:variant>
        <vt:i4>9</vt:i4>
      </vt:variant>
      <vt:variant>
        <vt:i4>0</vt:i4>
      </vt:variant>
      <vt:variant>
        <vt:i4>5</vt:i4>
      </vt:variant>
      <vt:variant>
        <vt:lpwstr>http://energy.gov.il/Subjects/NG/Documents/NGguidebook.pdf</vt:lpwstr>
      </vt:variant>
      <vt:variant>
        <vt:lpwstr/>
      </vt:variant>
      <vt:variant>
        <vt:i4>6750304</vt:i4>
      </vt:variant>
      <vt:variant>
        <vt:i4>6</vt:i4>
      </vt:variant>
      <vt:variant>
        <vt:i4>0</vt:i4>
      </vt:variant>
      <vt:variant>
        <vt:i4>5</vt:i4>
      </vt:variant>
      <vt:variant>
        <vt:lpwstr>http://energy.gov.il/Subjects/NG/Documents/NGguidebook.pdf</vt:lpwstr>
      </vt:variant>
      <vt:variant>
        <vt:lpwstr/>
      </vt:variant>
      <vt:variant>
        <vt:i4>4784230</vt:i4>
      </vt:variant>
      <vt:variant>
        <vt:i4>3</vt:i4>
      </vt:variant>
      <vt:variant>
        <vt:i4>0</vt:i4>
      </vt:variant>
      <vt:variant>
        <vt:i4>5</vt:i4>
      </vt:variant>
      <vt:variant>
        <vt:lpwstr>http://www.cbs.gov.il/reader/newhodaot/tables_template.html?hodaa=201703059</vt:lpwstr>
      </vt:variant>
      <vt:variant>
        <vt:lpwstr/>
      </vt:variant>
      <vt:variant>
        <vt:i4>97519058</vt:i4>
      </vt:variant>
      <vt:variant>
        <vt:i4>0</vt:i4>
      </vt:variant>
      <vt:variant>
        <vt:i4>0</vt:i4>
      </vt:variant>
      <vt:variant>
        <vt:i4>5</vt:i4>
      </vt:variant>
      <vt:variant>
        <vt:lpwstr/>
      </vt:variant>
      <vt:variant>
        <vt:lpwstr>הגדרות</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מאזן האנרגיה של ישראל, 2018</dc:title>
  <dc:creator>Imag_98_8305HG</dc:creator>
  <cp:lastModifiedBy>Maayan Ben-ami</cp:lastModifiedBy>
  <cp:revision>2</cp:revision>
  <cp:lastPrinted>2020-01-05T06:49:00Z</cp:lastPrinted>
  <dcterms:created xsi:type="dcterms:W3CDTF">2020-01-06T08:16:00Z</dcterms:created>
  <dcterms:modified xsi:type="dcterms:W3CDTF">2020-01-06T08:16:00Z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fa41555e3464cf4bb914e89b71e6bff">
    <vt:lpwstr/>
  </property>
  <property fmtid="{D5CDD505-2E9C-101B-9397-08002B2CF9AE}" pid="3" name="CbsMMDSurveys">
    <vt:lpwstr/>
  </property>
  <property fmtid="{D5CDD505-2E9C-101B-9397-08002B2CF9AE}" pid="4" name="k996ec15d8b84c25ab4ba497b8126068">
    <vt:lpwstr/>
  </property>
  <property fmtid="{D5CDD505-2E9C-101B-9397-08002B2CF9AE}" pid="5" name="CbsMMDPublisher">
    <vt:lpwstr/>
  </property>
  <property fmtid="{D5CDD505-2E9C-101B-9397-08002B2CF9AE}" pid="6" name="le6ae3b316d345348c5a7081083b5f17">
    <vt:lpwstr/>
  </property>
  <property fmtid="{D5CDD505-2E9C-101B-9397-08002B2CF9AE}" pid="7" name="CbsMMDGatheringMethod">
    <vt:lpwstr/>
  </property>
  <property fmtid="{D5CDD505-2E9C-101B-9397-08002B2CF9AE}" pid="8" name="d8f60aace6e84187b9d8167da15a966c">
    <vt:lpwstr/>
  </property>
  <property fmtid="{D5CDD505-2E9C-101B-9397-08002B2CF9AE}" pid="9" name="CbsMMDInterval">
    <vt:lpwstr>132;#שנתי|3aa65854-6eee-4c18-bea6-a232fd3cf6c6</vt:lpwstr>
  </property>
  <property fmtid="{D5CDD505-2E9C-101B-9397-08002B2CF9AE}" pid="10" name="CbsMMDLanguages">
    <vt:lpwstr>24;#עברית|d5ca1f8a-058f-4a61-87d9-d098eff07fef;#23;# אנגלית|bcd2f785-9433-481a-8dea-af8b5faa5f5c</vt:lpwstr>
  </property>
  <property fmtid="{D5CDD505-2E9C-101B-9397-08002B2CF9AE}" pid="11" name="ContentTypeId">
    <vt:lpwstr>0x01010018C65C5FFA1A411CB733A36D5E05D176005EC8771B28134F43A3AE7296363CCDAA0012EE8DAAB84E594CBB34D7852AC42FC4</vt:lpwstr>
  </property>
  <property fmtid="{D5CDD505-2E9C-101B-9397-08002B2CF9AE}" pid="12" name="CbsMMDGeoDistribution">
    <vt:lpwstr/>
  </property>
  <property fmtid="{D5CDD505-2E9C-101B-9397-08002B2CF9AE}" pid="13" name="TaxCatchAll">
    <vt:lpwstr>288;# חשמל|0afafd02-c58a-4d0a-8f01-fc53bb061906;#65;#אנרגיה|4e7a85a7-ef21-459f-a157-991f5eaad5b2;#132;#שנתי|3aa65854-6eee-4c18-bea6-a232fd3cf6c6;#283;# גז טבעי|bc9e4065-491c-4be2-b606-a68fabbdd28e;#26;#מאמר|2980ee55-44c4-4555-b313-39b30e741399;#24;#עברית|</vt:lpwstr>
  </property>
  <property fmtid="{D5CDD505-2E9C-101B-9397-08002B2CF9AE}" pid="14" name="e963c9d311ab4da3b6cbc837a17bbe40">
    <vt:lpwstr/>
  </property>
  <property fmtid="{D5CDD505-2E9C-101B-9397-08002B2CF9AE}" pid="15" name="jb05328652cd4d188b8237060e08f6a6">
    <vt:lpwstr>מאמר|2980ee55-44c4-4555-b313-39b30e741399</vt:lpwstr>
  </property>
  <property fmtid="{D5CDD505-2E9C-101B-9397-08002B2CF9AE}" pid="16" name="CbsMMDItemType">
    <vt:lpwstr>26;#מאמר|2980ee55-44c4-4555-b313-39b30e741399</vt:lpwstr>
  </property>
  <property fmtid="{D5CDD505-2E9C-101B-9397-08002B2CF9AE}" pid="17" name="CbsMMDSettlements">
    <vt:lpwstr/>
  </property>
  <property fmtid="{D5CDD505-2E9C-101B-9397-08002B2CF9AE}" pid="18" name="fa130405dbd9451c89aaf40a75fe388c">
    <vt:lpwstr/>
  </property>
  <property fmtid="{D5CDD505-2E9C-101B-9397-08002B2CF9AE}" pid="19" name="be7e4c0a87744fda8f9ec475d0d5383d">
    <vt:lpwstr/>
  </property>
  <property fmtid="{D5CDD505-2E9C-101B-9397-08002B2CF9AE}" pid="20" name="o2494bd4375f452fad1b646d6a811f44">
    <vt:lpwstr>שנתי|3aa65854-6eee-4c18-bea6-a232fd3cf6c6</vt:lpwstr>
  </property>
  <property fmtid="{D5CDD505-2E9C-101B-9397-08002B2CF9AE}" pid="21" name="CbsMMDSubjects">
    <vt:lpwstr>65;#אנרגיה|4e7a85a7-ef21-459f-a157-991f5eaad5b2;#290;# מאזן האנרגיה|5fd149ff-f263-47da-b95d-ecb0f5feb526;#289;# נפט גולמי ותוצריו|33bf8a8a-70f0-46c4-96d5-92a1b8d56a8b;#293;# פחם|5077310c-9017-4b16-b1d6-334da31ebc85;#283;# גז טבעי|bc9e4065-491c-4be2-b606-a</vt:lpwstr>
  </property>
  <property fmtid="{D5CDD505-2E9C-101B-9397-08002B2CF9AE}" pid="22" name="d26306ee4df449b8a93fe89c272330c7">
    <vt:lpwstr/>
  </property>
  <property fmtid="{D5CDD505-2E9C-101B-9397-08002B2CF9AE}" pid="23" name="CbsMMDLicense">
    <vt:lpwstr/>
  </property>
  <property fmtid="{D5CDD505-2E9C-101B-9397-08002B2CF9AE}" pid="24" name="l2e12a95055c425a9be399caf84ebe5f">
    <vt:lpwstr>עברית|d5ca1f8a-058f-4a61-87d9-d098eff07fef; אנגלית|bcd2f785-9433-481a-8dea-af8b5faa5f5c</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10491600</vt:r8>
  </property>
</Properties>
</file>